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W w:w="10343" w:type="dxa"/>
        <w:tblLook w:val="04A0" w:firstRow="1" w:lastRow="0" w:firstColumn="1" w:lastColumn="0" w:noHBand="0" w:noVBand="1"/>
      </w:tblPr>
      <w:tblGrid>
        <w:gridCol w:w="2122"/>
        <w:gridCol w:w="8221"/>
      </w:tblGrid>
      <w:tr w:rsidR="000D73B5" w:rsidRPr="001E1A48" w14:paraId="26C63C31" w14:textId="77777777" w:rsidTr="005F3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6B56A5" w14:textId="77777777" w:rsidR="000D73B5" w:rsidRPr="001E1A48" w:rsidRDefault="00C143E7" w:rsidP="00E40441">
            <w:pPr>
              <w:spacing w:after="60"/>
              <w:rPr>
                <w:rFonts w:eastAsia="Cambria" w:cstheme="minorHAnsi"/>
              </w:rPr>
            </w:pPr>
            <w:r w:rsidRPr="001E1A48">
              <w:rPr>
                <w:rFonts w:eastAsia="Cambria" w:cstheme="minorHAnsi"/>
              </w:rPr>
              <w:t>Project Title</w:t>
            </w:r>
            <w:r w:rsidR="000D73B5" w:rsidRPr="001E1A48">
              <w:rPr>
                <w:rFonts w:eastAsia="Cambria" w:cstheme="minorHAnsi"/>
              </w:rPr>
              <w:t xml:space="preserve">               </w:t>
            </w:r>
          </w:p>
        </w:tc>
        <w:tc>
          <w:tcPr>
            <w:tcW w:w="8221" w:type="dxa"/>
          </w:tcPr>
          <w:p w14:paraId="3CE7E197" w14:textId="440AB3A1" w:rsidR="000D73B5" w:rsidRPr="001E1A48" w:rsidRDefault="00FC6B11" w:rsidP="00FC6B11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</w:rPr>
            </w:pPr>
            <w:r w:rsidRPr="001E1A48">
              <w:rPr>
                <w:rFonts w:eastAsia="Cambria" w:cstheme="minorHAnsi"/>
              </w:rPr>
              <w:t>Ruzizi II One</w:t>
            </w:r>
            <w:r w:rsidRPr="001E1A48">
              <w:rPr>
                <w:rFonts w:eastAsia="Cambria" w:cstheme="minorHAnsi"/>
              </w:rPr>
              <w:noBreakHyphen/>
              <w:t>Stop Border Post (OSBP) Infrastructure Upgrade</w:t>
            </w:r>
          </w:p>
        </w:tc>
      </w:tr>
      <w:tr w:rsidR="00842ED5" w:rsidRPr="001E1A48" w14:paraId="22C901C5" w14:textId="77777777" w:rsidTr="005F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82DF29" w14:textId="030C7E37" w:rsidR="00842ED5" w:rsidRPr="001E1A48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1E1A48">
              <w:rPr>
                <w:rFonts w:eastAsia="Cambria" w:cstheme="minorHAnsi"/>
              </w:rPr>
              <w:t>Project Leads</w:t>
            </w:r>
          </w:p>
        </w:tc>
        <w:tc>
          <w:tcPr>
            <w:tcW w:w="8221" w:type="dxa"/>
          </w:tcPr>
          <w:p w14:paraId="58B7EB41" w14:textId="64FAD1A7" w:rsidR="00842ED5" w:rsidRPr="001E1A48" w:rsidRDefault="00FC6B11" w:rsidP="00FC6B11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E1A48">
              <w:rPr>
                <w:rFonts w:cstheme="minorHAnsi"/>
                <w:sz w:val="22"/>
                <w:szCs w:val="22"/>
              </w:rPr>
              <w:t>Government of the Democratic Republic of Congo and TradeMark Africa</w:t>
            </w:r>
          </w:p>
        </w:tc>
      </w:tr>
      <w:tr w:rsidR="00842ED5" w:rsidRPr="001E1A48" w14:paraId="2C81A430" w14:textId="77777777" w:rsidTr="005F37C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6E0940" w14:textId="440A6350" w:rsidR="00842ED5" w:rsidRPr="001E1A48" w:rsidRDefault="00842ED5" w:rsidP="00842ED5">
            <w:pPr>
              <w:spacing w:after="60"/>
              <w:rPr>
                <w:rFonts w:eastAsia="Cambria" w:cstheme="minorHAnsi"/>
              </w:rPr>
            </w:pPr>
            <w:r w:rsidRPr="001E1A48">
              <w:rPr>
                <w:rFonts w:eastAsia="Cambria" w:cstheme="minorHAnsi"/>
              </w:rPr>
              <w:t xml:space="preserve">Funding </w:t>
            </w:r>
          </w:p>
        </w:tc>
        <w:tc>
          <w:tcPr>
            <w:tcW w:w="8221" w:type="dxa"/>
          </w:tcPr>
          <w:p w14:paraId="0C657D39" w14:textId="0D0FAFEC" w:rsidR="00842ED5" w:rsidRPr="001E1A48" w:rsidRDefault="00FC6B11" w:rsidP="00FC6B1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</w:rPr>
            </w:pPr>
            <w:r w:rsidRPr="001E1A48">
              <w:rPr>
                <w:rFonts w:eastAsia="Cambria" w:cstheme="minorHAnsi"/>
              </w:rPr>
              <w:t>European Union through IOM</w:t>
            </w:r>
          </w:p>
        </w:tc>
      </w:tr>
      <w:tr w:rsidR="00842ED5" w:rsidRPr="001E1A48" w14:paraId="0843FA7D" w14:textId="77777777" w:rsidTr="005F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559E4A" w14:textId="736F2B44" w:rsidR="00842ED5" w:rsidRPr="001E1A48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1E1A48">
              <w:rPr>
                <w:rFonts w:cstheme="minorHAnsi"/>
              </w:rPr>
              <w:t xml:space="preserve">Value </w:t>
            </w:r>
            <w:r w:rsidR="008242E8" w:rsidRPr="001E1A48">
              <w:rPr>
                <w:rFonts w:cstheme="minorHAnsi"/>
              </w:rPr>
              <w:t>($</w:t>
            </w:r>
            <w:r w:rsidRPr="001E1A48">
              <w:rPr>
                <w:rFonts w:cstheme="minorHAnsi"/>
              </w:rPr>
              <w:t>)</w:t>
            </w:r>
          </w:p>
        </w:tc>
        <w:tc>
          <w:tcPr>
            <w:tcW w:w="8221" w:type="dxa"/>
          </w:tcPr>
          <w:p w14:paraId="33A62771" w14:textId="7F8A9F24" w:rsidR="00842ED5" w:rsidRPr="001E1A48" w:rsidRDefault="008242E8" w:rsidP="003D4A9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E1A48">
              <w:rPr>
                <w:rFonts w:cstheme="minorHAnsi"/>
                <w:color w:val="000000"/>
              </w:rPr>
              <w:t>$</w:t>
            </w:r>
            <w:r w:rsidR="003D4A90" w:rsidRPr="001E1A48">
              <w:rPr>
                <w:rFonts w:cstheme="minorHAnsi"/>
              </w:rPr>
              <w:t xml:space="preserve"> </w:t>
            </w:r>
            <w:r w:rsidR="009C718B" w:rsidRPr="001E1A48">
              <w:rPr>
                <w:rFonts w:cstheme="minorHAnsi"/>
              </w:rPr>
              <w:t>6.2</w:t>
            </w:r>
            <w:r w:rsidR="003D4A90" w:rsidRPr="001E1A48">
              <w:rPr>
                <w:rFonts w:cstheme="minorHAnsi"/>
                <w:color w:val="000000"/>
              </w:rPr>
              <w:t xml:space="preserve"> million</w:t>
            </w:r>
          </w:p>
        </w:tc>
      </w:tr>
      <w:tr w:rsidR="00842ED5" w:rsidRPr="001E1A48" w14:paraId="6D32B0E5" w14:textId="77777777" w:rsidTr="005F37C1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ED381F" w14:textId="6FD61BA3" w:rsidR="00842ED5" w:rsidRPr="001E1A48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1E1A48">
              <w:rPr>
                <w:rFonts w:eastAsia="Cambria" w:cstheme="minorHAnsi"/>
              </w:rPr>
              <w:t>Implementation Period</w:t>
            </w:r>
          </w:p>
        </w:tc>
        <w:tc>
          <w:tcPr>
            <w:tcW w:w="8221" w:type="dxa"/>
          </w:tcPr>
          <w:p w14:paraId="518EC544" w14:textId="3F83DCD0" w:rsidR="00842ED5" w:rsidRPr="001E1A48" w:rsidRDefault="003D4A90" w:rsidP="003D4A9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</w:rPr>
            </w:pPr>
            <w:r w:rsidRPr="001E1A48">
              <w:rPr>
                <w:rFonts w:cstheme="minorHAnsi"/>
              </w:rPr>
              <w:t>2018–</w:t>
            </w:r>
            <w:r w:rsidR="009C718B" w:rsidRPr="001E1A48">
              <w:rPr>
                <w:rFonts w:cstheme="minorHAnsi"/>
              </w:rPr>
              <w:t>2024</w:t>
            </w:r>
          </w:p>
        </w:tc>
      </w:tr>
      <w:tr w:rsidR="00842ED5" w:rsidRPr="001E1A48" w14:paraId="2B185DB8" w14:textId="77777777" w:rsidTr="005F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1762BEA" w14:textId="4BBFA55F" w:rsidR="00842ED5" w:rsidRPr="001E1A48" w:rsidRDefault="00842ED5" w:rsidP="00842ED5">
            <w:pPr>
              <w:spacing w:after="60"/>
              <w:rPr>
                <w:rFonts w:eastAsia="Cambria" w:cstheme="minorHAnsi"/>
              </w:rPr>
            </w:pPr>
            <w:r w:rsidRPr="001E1A48">
              <w:rPr>
                <w:rFonts w:eastAsia="Cambria" w:cstheme="minorHAnsi"/>
              </w:rPr>
              <w:t>Project Partners</w:t>
            </w:r>
          </w:p>
        </w:tc>
        <w:tc>
          <w:tcPr>
            <w:tcW w:w="8221" w:type="dxa"/>
          </w:tcPr>
          <w:p w14:paraId="4D7F637C" w14:textId="35D64FD7" w:rsidR="00FE3A12" w:rsidRPr="001E1A48" w:rsidRDefault="00FC6B11" w:rsidP="00FC6B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E1A48">
              <w:rPr>
                <w:rFonts w:cstheme="minorHAnsi"/>
              </w:rPr>
              <w:t>Government of DRC, TradeMark Africa, border agencies, local line ministries, private sector actors</w:t>
            </w:r>
          </w:p>
        </w:tc>
      </w:tr>
      <w:tr w:rsidR="00842ED5" w:rsidRPr="001E1A48" w14:paraId="45893422" w14:textId="77777777" w:rsidTr="005F37C1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2800BA8" w14:textId="65FB2AAA" w:rsidR="00842ED5" w:rsidRPr="001E1A48" w:rsidRDefault="00842ED5" w:rsidP="00842ED5">
            <w:pPr>
              <w:spacing w:after="60"/>
              <w:rPr>
                <w:rFonts w:eastAsia="Cambria" w:cstheme="minorHAnsi"/>
              </w:rPr>
            </w:pPr>
            <w:r w:rsidRPr="001E1A48">
              <w:rPr>
                <w:rFonts w:eastAsia="Cambria" w:cstheme="minorHAnsi"/>
              </w:rPr>
              <w:t xml:space="preserve">Project Participants </w:t>
            </w:r>
          </w:p>
        </w:tc>
        <w:tc>
          <w:tcPr>
            <w:tcW w:w="8221" w:type="dxa"/>
          </w:tcPr>
          <w:p w14:paraId="354C2737" w14:textId="7C72F622" w:rsidR="00842ED5" w:rsidRPr="001E1A48" w:rsidRDefault="00FC6B11" w:rsidP="00FC6B1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</w:rPr>
            </w:pPr>
            <w:r w:rsidRPr="001E1A48">
              <w:rPr>
                <w:rFonts w:eastAsia="Cambria" w:cstheme="minorHAnsi"/>
              </w:rPr>
              <w:t>Heavy-truck operators, small-scale traders (notably women), customs and immigration officials, logistics service providers.</w:t>
            </w:r>
          </w:p>
        </w:tc>
      </w:tr>
      <w:tr w:rsidR="00842ED5" w:rsidRPr="001E1A48" w14:paraId="653806F9" w14:textId="77777777" w:rsidTr="005F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B9304F" w14:textId="5A329BD4" w:rsidR="00842ED5" w:rsidRPr="001E1A48" w:rsidRDefault="00842ED5" w:rsidP="00842ED5">
            <w:pPr>
              <w:spacing w:after="60"/>
              <w:rPr>
                <w:rFonts w:eastAsia="Cambria" w:cstheme="minorHAnsi"/>
              </w:rPr>
            </w:pPr>
            <w:r w:rsidRPr="001E1A48">
              <w:rPr>
                <w:rFonts w:eastAsia="Cambria" w:cstheme="minorHAnsi"/>
              </w:rPr>
              <w:t>Project Rationale (why this project matters)</w:t>
            </w:r>
          </w:p>
        </w:tc>
        <w:tc>
          <w:tcPr>
            <w:tcW w:w="8221" w:type="dxa"/>
          </w:tcPr>
          <w:p w14:paraId="39783078" w14:textId="40D4481F" w:rsidR="00D8635A" w:rsidRPr="001E1A48" w:rsidRDefault="00D8635A" w:rsidP="00D8635A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E1A48">
              <w:rPr>
                <w:rFonts w:cstheme="minorHAnsi"/>
                <w:sz w:val="22"/>
                <w:szCs w:val="22"/>
              </w:rPr>
              <w:t xml:space="preserve">The </w:t>
            </w:r>
            <w:r w:rsidRPr="001E1A48">
              <w:rPr>
                <w:rFonts w:cstheme="minorHAnsi"/>
                <w:b/>
                <w:bCs/>
                <w:sz w:val="22"/>
                <w:szCs w:val="22"/>
              </w:rPr>
              <w:t>Ruzizi II</w:t>
            </w:r>
            <w:r w:rsidRPr="001E1A48">
              <w:rPr>
                <w:rFonts w:cstheme="minorHAnsi"/>
                <w:sz w:val="22"/>
                <w:szCs w:val="22"/>
              </w:rPr>
              <w:t xml:space="preserve"> border </w:t>
            </w:r>
            <w:r w:rsidR="005E5D7E" w:rsidRPr="001E1A48">
              <w:rPr>
                <w:rFonts w:cstheme="minorHAnsi"/>
                <w:sz w:val="22"/>
                <w:szCs w:val="22"/>
              </w:rPr>
              <w:t>is one of the principal trade crossings between Rwanda and DRC and the main heavy truck gateway for goods moving between Rusizi and</w:t>
            </w:r>
            <w:r w:rsidRPr="001E1A48">
              <w:rPr>
                <w:rFonts w:cstheme="minorHAnsi"/>
                <w:sz w:val="22"/>
                <w:szCs w:val="22"/>
              </w:rPr>
              <w:t xml:space="preserve"> Bukav</w:t>
            </w:r>
            <w:r w:rsidR="005E5D7E" w:rsidRPr="001E1A48">
              <w:rPr>
                <w:rFonts w:cstheme="minorHAnsi"/>
                <w:sz w:val="22"/>
                <w:szCs w:val="22"/>
              </w:rPr>
              <w:t>u. It also sits at the heart of a much wider small scale trading economy with more than 90% of small scale trade between the two countries passing through Goma/Rubavu and Bukavu/Rusizi crossings</w:t>
            </w:r>
            <w:r w:rsidRPr="001E1A48">
              <w:rPr>
                <w:rFonts w:cstheme="minorHAnsi"/>
                <w:sz w:val="22"/>
                <w:szCs w:val="22"/>
              </w:rPr>
              <w:t>. As a primary artery for heavy cargo and high-volume trade in the Great Lakes region, its modernization is essential for regional stability and economic integration.</w:t>
            </w:r>
          </w:p>
          <w:p w14:paraId="40F9FFD1" w14:textId="77777777" w:rsidR="005E5D7E" w:rsidRPr="001E1A48" w:rsidRDefault="005E5D7E" w:rsidP="00D8635A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C1BE9CB" w14:textId="2FD5643E" w:rsidR="005E5D7E" w:rsidRPr="001E1A48" w:rsidRDefault="005E5D7E" w:rsidP="005E5D7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E1A48">
              <w:rPr>
                <w:rFonts w:cstheme="minorHAnsi"/>
                <w:sz w:val="22"/>
                <w:szCs w:val="22"/>
              </w:rPr>
              <w:t xml:space="preserve">It also sits at the heart of a much wider small-scale trading economy: more than 90 per cent of small-scale trade between the two countries passes through the Goma/Rubavu and Bukavu/Rusizi crossings, and Bukavu/Rusizi alone accounts for more than a third of Rwanda’s informal cross-border trade with the DRC. </w:t>
            </w:r>
            <w:r w:rsidR="001E1A48" w:rsidRPr="001E1A48">
              <w:rPr>
                <w:rFonts w:cstheme="minorHAnsi"/>
                <w:sz w:val="22"/>
                <w:szCs w:val="22"/>
              </w:rPr>
              <w:t>Research</w:t>
            </w:r>
            <w:r w:rsidRPr="001E1A48">
              <w:rPr>
                <w:rFonts w:cstheme="minorHAnsi"/>
                <w:sz w:val="22"/>
                <w:szCs w:val="22"/>
              </w:rPr>
              <w:t xml:space="preserve"> also shows that an estimated 4,600 people cross daily at Ru</w:t>
            </w:r>
            <w:r w:rsidR="001E1A48" w:rsidRPr="001E1A48">
              <w:rPr>
                <w:rFonts w:cstheme="minorHAnsi"/>
                <w:sz w:val="22"/>
                <w:szCs w:val="22"/>
              </w:rPr>
              <w:t>z</w:t>
            </w:r>
            <w:r w:rsidRPr="001E1A48">
              <w:rPr>
                <w:rFonts w:cstheme="minorHAnsi"/>
                <w:sz w:val="22"/>
                <w:szCs w:val="22"/>
              </w:rPr>
              <w:t>izi II to exchange goods and services.</w:t>
            </w:r>
          </w:p>
          <w:p w14:paraId="3177DF1F" w14:textId="77777777" w:rsidR="00D8635A" w:rsidRPr="001E1A48" w:rsidRDefault="00D8635A" w:rsidP="005F37C1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E38FA49" w14:textId="04A38C1B" w:rsidR="00D8635A" w:rsidRPr="00D8635A" w:rsidRDefault="00D8635A" w:rsidP="00D8635A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  <w:r w:rsidRPr="00D8635A">
              <w:rPr>
                <w:rFonts w:cstheme="minorHAnsi"/>
                <w:sz w:val="22"/>
                <w:szCs w:val="22"/>
                <w:lang w:val="en-KE"/>
              </w:rPr>
              <w:t>By 2018, the Ruzizi II crossing had become a major bottleneck due to decades of underinvestment. The intervention was necessitated by several factors:</w:t>
            </w:r>
          </w:p>
          <w:p w14:paraId="0E452BAC" w14:textId="2DD3F7C2" w:rsidR="00D8635A" w:rsidRPr="001E1A48" w:rsidRDefault="00D8635A" w:rsidP="00D8635A">
            <w:pPr>
              <w:pStyle w:val="NoSpacing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  <w:r w:rsidRPr="00D8635A">
              <w:rPr>
                <w:rFonts w:cstheme="minorHAnsi"/>
                <w:sz w:val="22"/>
                <w:szCs w:val="22"/>
                <w:lang w:val="en-KE"/>
              </w:rPr>
              <w:t>Ailing Infrastructure: The historical bridge (built between 1908–1920) and deteriorated approach roads were unable to safely support the increasing volume of heavy goods vehicles</w:t>
            </w:r>
            <w:r w:rsidR="001E1A48" w:rsidRPr="001E1A48">
              <w:rPr>
                <w:rFonts w:cstheme="minorHAnsi"/>
                <w:sz w:val="22"/>
                <w:szCs w:val="22"/>
                <w:lang w:val="en-KE"/>
              </w:rPr>
              <w:t>,</w:t>
            </w:r>
            <w:r w:rsidRPr="00D8635A">
              <w:rPr>
                <w:rFonts w:cstheme="minorHAnsi"/>
                <w:sz w:val="22"/>
                <w:szCs w:val="22"/>
                <w:lang w:val="en-KE"/>
              </w:rPr>
              <w:t xml:space="preserve"> leading to chronic congestion and safety risks.</w:t>
            </w:r>
          </w:p>
          <w:p w14:paraId="1EF08B8C" w14:textId="77777777" w:rsidR="00D8635A" w:rsidRPr="001E1A48" w:rsidRDefault="00D8635A" w:rsidP="00D8635A">
            <w:pPr>
              <w:pStyle w:val="NoSpacing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  <w:r w:rsidRPr="00D8635A">
              <w:rPr>
                <w:rFonts w:cstheme="minorHAnsi"/>
                <w:sz w:val="22"/>
                <w:szCs w:val="22"/>
                <w:lang w:val="en-KE"/>
              </w:rPr>
              <w:t xml:space="preserve">Administrative Inefficiency: Fragmented border controls and the lack of a </w:t>
            </w:r>
            <w:r w:rsidRPr="00D8635A">
              <w:rPr>
                <w:rFonts w:cstheme="minorHAnsi"/>
                <w:i/>
                <w:iCs/>
                <w:sz w:val="22"/>
                <w:szCs w:val="22"/>
                <w:lang w:val="en-KE"/>
              </w:rPr>
              <w:t>One-Stop</w:t>
            </w:r>
            <w:r w:rsidRPr="00D8635A">
              <w:rPr>
                <w:rFonts w:cstheme="minorHAnsi"/>
                <w:sz w:val="22"/>
                <w:szCs w:val="22"/>
                <w:lang w:val="en-KE"/>
              </w:rPr>
              <w:t xml:space="preserve"> system resulted in unpredictable delays and high operational costs for transporters, reducing the competitiveness of regional goods.</w:t>
            </w:r>
          </w:p>
          <w:p w14:paraId="5EE14082" w14:textId="6EBCE770" w:rsidR="00D8635A" w:rsidRPr="00D8635A" w:rsidRDefault="00D8635A" w:rsidP="00D8635A">
            <w:pPr>
              <w:pStyle w:val="NoSpacing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  <w:r w:rsidRPr="00D8635A">
              <w:rPr>
                <w:rFonts w:cstheme="minorHAnsi"/>
                <w:sz w:val="22"/>
                <w:szCs w:val="22"/>
                <w:lang w:val="en-KE"/>
              </w:rPr>
              <w:t>Vulnerability of Small-Scale Traders: Thousands of traders</w:t>
            </w:r>
            <w:r w:rsidRPr="001E1A48">
              <w:rPr>
                <w:rFonts w:cstheme="minorHAnsi"/>
                <w:sz w:val="22"/>
                <w:szCs w:val="22"/>
                <w:lang w:val="en-KE"/>
              </w:rPr>
              <w:t>-</w:t>
            </w:r>
            <w:r w:rsidRPr="00D8635A">
              <w:rPr>
                <w:rFonts w:cstheme="minorHAnsi"/>
                <w:sz w:val="22"/>
                <w:szCs w:val="22"/>
                <w:lang w:val="en-KE"/>
              </w:rPr>
              <w:t>predominantly women</w:t>
            </w:r>
            <w:r w:rsidRPr="001E1A48">
              <w:rPr>
                <w:rFonts w:cstheme="minorHAnsi"/>
                <w:sz w:val="22"/>
                <w:szCs w:val="22"/>
                <w:lang w:val="en-KE"/>
              </w:rPr>
              <w:t>-</w:t>
            </w:r>
            <w:r w:rsidRPr="00D8635A">
              <w:rPr>
                <w:rFonts w:cstheme="minorHAnsi"/>
                <w:sz w:val="22"/>
                <w:szCs w:val="22"/>
                <w:lang w:val="en-KE"/>
              </w:rPr>
              <w:t>operated in informal, roadside spaces. The absence of basic shelter, storage, and sanitation facilities exposed them to economic exploitation, physical insecurity, and health risks.</w:t>
            </w:r>
          </w:p>
          <w:p w14:paraId="777F2EEC" w14:textId="228A23C8" w:rsidR="00842ED5" w:rsidRPr="001E1A48" w:rsidRDefault="00842ED5" w:rsidP="005F37C1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842ED5" w:rsidRPr="001E1A48" w14:paraId="1A4284B5" w14:textId="77777777" w:rsidTr="005F37C1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1706662" w14:textId="781CC763" w:rsidR="00842ED5" w:rsidRPr="001E1A48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1E1A48">
              <w:rPr>
                <w:rFonts w:eastAsia="Cambria" w:cstheme="minorHAnsi"/>
              </w:rPr>
              <w:t xml:space="preserve">Implementation Strategy </w:t>
            </w:r>
          </w:p>
        </w:tc>
        <w:tc>
          <w:tcPr>
            <w:tcW w:w="8221" w:type="dxa"/>
          </w:tcPr>
          <w:p w14:paraId="07B3EE5E" w14:textId="1ECF0316" w:rsidR="005E5D7E" w:rsidRPr="005E5D7E" w:rsidRDefault="005E5D7E" w:rsidP="005E5D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5E5D7E">
              <w:rPr>
                <w:rFonts w:cstheme="minorHAnsi"/>
                <w:lang w:val="en-KE"/>
              </w:rPr>
              <w:t xml:space="preserve">A </w:t>
            </w:r>
            <w:r w:rsidRPr="001E1A48">
              <w:rPr>
                <w:rFonts w:cstheme="minorHAnsi"/>
                <w:lang w:val="en-KE"/>
              </w:rPr>
              <w:t>m</w:t>
            </w:r>
            <w:r w:rsidRPr="005E5D7E">
              <w:rPr>
                <w:rFonts w:cstheme="minorHAnsi"/>
                <w:lang w:val="en-KE"/>
              </w:rPr>
              <w:t>ulti-</w:t>
            </w:r>
            <w:r w:rsidRPr="001E1A48">
              <w:rPr>
                <w:rFonts w:cstheme="minorHAnsi"/>
                <w:lang w:val="en-KE"/>
              </w:rPr>
              <w:t>d</w:t>
            </w:r>
            <w:r w:rsidRPr="005E5D7E">
              <w:rPr>
                <w:rFonts w:cstheme="minorHAnsi"/>
                <w:lang w:val="en-KE"/>
              </w:rPr>
              <w:t xml:space="preserve">imensional </w:t>
            </w:r>
            <w:r w:rsidRPr="001E1A48">
              <w:rPr>
                <w:rFonts w:cstheme="minorHAnsi"/>
                <w:lang w:val="en-KE"/>
              </w:rPr>
              <w:t>m</w:t>
            </w:r>
            <w:r w:rsidRPr="005E5D7E">
              <w:rPr>
                <w:rFonts w:cstheme="minorHAnsi"/>
                <w:lang w:val="en-KE"/>
              </w:rPr>
              <w:t>oderni</w:t>
            </w:r>
            <w:r w:rsidRPr="001E1A48">
              <w:rPr>
                <w:rFonts w:cstheme="minorHAnsi"/>
                <w:lang w:val="en-KE"/>
              </w:rPr>
              <w:t>s</w:t>
            </w:r>
            <w:r w:rsidRPr="005E5D7E">
              <w:rPr>
                <w:rFonts w:cstheme="minorHAnsi"/>
                <w:lang w:val="en-KE"/>
              </w:rPr>
              <w:t xml:space="preserve">ation </w:t>
            </w:r>
            <w:r w:rsidRPr="001E1A48">
              <w:rPr>
                <w:rFonts w:cstheme="minorHAnsi"/>
                <w:lang w:val="en-KE"/>
              </w:rPr>
              <w:t>s</w:t>
            </w:r>
            <w:r w:rsidRPr="005E5D7E">
              <w:rPr>
                <w:rFonts w:cstheme="minorHAnsi"/>
                <w:lang w:val="en-KE"/>
              </w:rPr>
              <w:t>trategy</w:t>
            </w:r>
            <w:r w:rsidRPr="001E1A48">
              <w:rPr>
                <w:rFonts w:cstheme="minorHAnsi"/>
                <w:lang w:val="en-KE"/>
              </w:rPr>
              <w:t xml:space="preserve"> was i</w:t>
            </w:r>
            <w:r w:rsidRPr="005E5D7E">
              <w:rPr>
                <w:rFonts w:cstheme="minorHAnsi"/>
                <w:lang w:val="en-KE"/>
              </w:rPr>
              <w:t xml:space="preserve">mplemented by IOM in partnership with </w:t>
            </w:r>
            <w:r w:rsidRPr="001E1A48">
              <w:rPr>
                <w:rFonts w:cstheme="minorHAnsi"/>
                <w:lang w:val="en-KE"/>
              </w:rPr>
              <w:t>TMA</w:t>
            </w:r>
            <w:r w:rsidRPr="005E5D7E">
              <w:rPr>
                <w:rFonts w:cstheme="minorHAnsi"/>
                <w:lang w:val="en-KE"/>
              </w:rPr>
              <w:t xml:space="preserve"> and funded by the European Union:</w:t>
            </w:r>
          </w:p>
          <w:p w14:paraId="1CCC46E5" w14:textId="77777777" w:rsidR="005E5D7E" w:rsidRPr="005E5D7E" w:rsidRDefault="005E5D7E" w:rsidP="005E5D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</w:p>
          <w:p w14:paraId="63C890A1" w14:textId="4EB3D4BC" w:rsidR="005E5D7E" w:rsidRPr="001E1A48" w:rsidRDefault="005E5D7E" w:rsidP="005E5D7E">
            <w:pPr>
              <w:pStyle w:val="ListParagraph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1E1A48">
              <w:rPr>
                <w:rFonts w:cstheme="minorHAnsi"/>
                <w:lang w:val="en-KE"/>
              </w:rPr>
              <w:t>Hard Infrastructure: Reconstruction of the approach roads, alongside the construction of a modern One-Stop Border Post facility</w:t>
            </w:r>
            <w:r w:rsidRPr="001E1A48">
              <w:rPr>
                <w:rFonts w:cstheme="minorHAnsi"/>
                <w:lang w:val="en-KE"/>
              </w:rPr>
              <w:t xml:space="preserve"> including a retaining wall, upgrading offices on both sides of the border with reliable water, power, office furniture</w:t>
            </w:r>
            <w:r w:rsidRPr="001E1A48">
              <w:rPr>
                <w:rFonts w:cstheme="minorHAnsi"/>
                <w:lang w:val="en-KE"/>
              </w:rPr>
              <w:t xml:space="preserve"> to centrali</w:t>
            </w:r>
            <w:r w:rsidRPr="001E1A48">
              <w:rPr>
                <w:rFonts w:cstheme="minorHAnsi"/>
                <w:lang w:val="en-KE"/>
              </w:rPr>
              <w:t>s</w:t>
            </w:r>
            <w:r w:rsidRPr="001E1A48">
              <w:rPr>
                <w:rFonts w:cstheme="minorHAnsi"/>
                <w:lang w:val="en-KE"/>
              </w:rPr>
              <w:t>e DRC and Rwanda border agencies.</w:t>
            </w:r>
            <w:r w:rsidRPr="001E1A48">
              <w:rPr>
                <w:rFonts w:cstheme="minorHAnsi"/>
                <w:lang w:val="en-KE"/>
              </w:rPr>
              <w:t xml:space="preserve"> </w:t>
            </w:r>
          </w:p>
          <w:p w14:paraId="4FB0D72F" w14:textId="3DBD6297" w:rsidR="005E5D7E" w:rsidRPr="001E1A48" w:rsidRDefault="005E5D7E" w:rsidP="005E5D7E">
            <w:pPr>
              <w:pStyle w:val="ListParagraph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1E1A48">
              <w:rPr>
                <w:rFonts w:cstheme="minorHAnsi"/>
                <w:lang w:val="en-KE"/>
              </w:rPr>
              <w:lastRenderedPageBreak/>
              <w:t>Installation of speciali</w:t>
            </w:r>
            <w:r w:rsidRPr="001E1A48">
              <w:rPr>
                <w:rFonts w:cstheme="minorHAnsi"/>
                <w:lang w:val="en-KE"/>
              </w:rPr>
              <w:t>s</w:t>
            </w:r>
            <w:r w:rsidRPr="001E1A48">
              <w:rPr>
                <w:rFonts w:cstheme="minorHAnsi"/>
                <w:lang w:val="en-KE"/>
              </w:rPr>
              <w:t>ed warehouses, secure truck parking, and ICT systems to enable real-time data exchange and faster customs clearance.</w:t>
            </w:r>
          </w:p>
          <w:p w14:paraId="543656BD" w14:textId="70BB4AFE" w:rsidR="00D752D7" w:rsidRPr="001E1A48" w:rsidRDefault="005E5D7E" w:rsidP="005E5D7E">
            <w:pPr>
              <w:pStyle w:val="ListParagraph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1E1A48">
              <w:rPr>
                <w:rFonts w:cstheme="minorHAnsi"/>
                <w:lang w:val="en-KE"/>
              </w:rPr>
              <w:t>The establishment of a structured cross-border market and dedicated trade zones designed to transition informal traders into formal, protected economic systems.</w:t>
            </w:r>
          </w:p>
          <w:p w14:paraId="1DF6A5C7" w14:textId="3DC5AAFB" w:rsidR="00226587" w:rsidRPr="001E1A48" w:rsidRDefault="00226587" w:rsidP="00D752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</w:p>
        </w:tc>
      </w:tr>
      <w:tr w:rsidR="00842ED5" w:rsidRPr="001E1A48" w14:paraId="4C14BB29" w14:textId="77777777" w:rsidTr="005F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E9DD30" w14:textId="3F943286" w:rsidR="00842ED5" w:rsidRPr="001E1A48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1E1A48">
              <w:rPr>
                <w:rFonts w:eastAsia="Cambria" w:cstheme="minorHAnsi"/>
              </w:rPr>
              <w:lastRenderedPageBreak/>
              <w:t xml:space="preserve">Expected Outcomes </w:t>
            </w:r>
          </w:p>
        </w:tc>
        <w:tc>
          <w:tcPr>
            <w:tcW w:w="8221" w:type="dxa"/>
          </w:tcPr>
          <w:p w14:paraId="70F63533" w14:textId="77777777" w:rsidR="005E5D7E" w:rsidRPr="001E1A48" w:rsidRDefault="005E5D7E" w:rsidP="005E5D7E">
            <w:pPr>
              <w:pStyle w:val="ListParagraph"/>
              <w:numPr>
                <w:ilvl w:val="0"/>
                <w:numId w:val="4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1E1A48">
              <w:rPr>
                <w:rFonts w:cstheme="minorHAnsi"/>
                <w:lang w:val="en-KE"/>
              </w:rPr>
              <w:t>Target reductions in vehicle dwelling time and a significant decrease in the cost of cross-border logistics.</w:t>
            </w:r>
          </w:p>
          <w:p w14:paraId="1AD72E37" w14:textId="2B635D1E" w:rsidR="00A73C54" w:rsidRPr="001E1A48" w:rsidRDefault="005E5D7E" w:rsidP="005E5D7E">
            <w:pPr>
              <w:pStyle w:val="ListParagraph"/>
              <w:numPr>
                <w:ilvl w:val="0"/>
                <w:numId w:val="4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KE"/>
              </w:rPr>
            </w:pPr>
            <w:r w:rsidRPr="001E1A48">
              <w:rPr>
                <w:rFonts w:cstheme="minorHAnsi"/>
                <w:lang w:val="en-KE"/>
              </w:rPr>
              <w:t>Providing women and small-scale traders with secure, hygienic, and sheltered workspaces, effectively reducing their exposure to physical and financial risk.</w:t>
            </w:r>
          </w:p>
        </w:tc>
      </w:tr>
      <w:tr w:rsidR="00842ED5" w:rsidRPr="001E1A48" w14:paraId="20FFD379" w14:textId="77777777" w:rsidTr="005F37C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3E2064" w14:textId="709E4008" w:rsidR="00842ED5" w:rsidRPr="001E1A48" w:rsidRDefault="00842ED5" w:rsidP="00842ED5">
            <w:pPr>
              <w:spacing w:after="60"/>
              <w:rPr>
                <w:rFonts w:eastAsia="Cambria" w:cstheme="minorHAnsi"/>
              </w:rPr>
            </w:pPr>
            <w:r w:rsidRPr="001E1A48">
              <w:rPr>
                <w:rFonts w:eastAsia="Cambria" w:cstheme="minorHAnsi"/>
              </w:rPr>
              <w:t xml:space="preserve">Progress </w:t>
            </w:r>
            <w:r w:rsidR="005E5D7E" w:rsidRPr="001E1A48">
              <w:rPr>
                <w:rFonts w:eastAsia="Cambria" w:cstheme="minorHAnsi"/>
              </w:rPr>
              <w:t xml:space="preserve">and Status </w:t>
            </w:r>
          </w:p>
        </w:tc>
        <w:tc>
          <w:tcPr>
            <w:tcW w:w="8221" w:type="dxa"/>
          </w:tcPr>
          <w:p w14:paraId="03D9FB29" w14:textId="77777777" w:rsidR="00DE63D9" w:rsidRPr="001E1A48" w:rsidRDefault="00DE63D9" w:rsidP="00226587">
            <w:pPr>
              <w:pStyle w:val="NoSpacing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vanish/>
                <w:sz w:val="22"/>
                <w:szCs w:val="22"/>
              </w:rPr>
            </w:pPr>
          </w:p>
          <w:p w14:paraId="71DEFA38" w14:textId="79F48D1D" w:rsidR="001E1A48" w:rsidRPr="001E1A48" w:rsidRDefault="001E1A48" w:rsidP="001E1A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  <w:r w:rsidRPr="001E1A48">
              <w:rPr>
                <w:rFonts w:cstheme="minorHAnsi"/>
                <w:sz w:val="22"/>
                <w:szCs w:val="22"/>
              </w:rPr>
              <w:t>M</w:t>
            </w:r>
            <w:r w:rsidRPr="001E1A48">
              <w:rPr>
                <w:rFonts w:cstheme="minorHAnsi"/>
                <w:sz w:val="22"/>
                <w:szCs w:val="22"/>
              </w:rPr>
              <w:t>ajor structural works completed and operational frameworks established, despite external security challenges.</w:t>
            </w:r>
          </w:p>
          <w:p w14:paraId="29977F4D" w14:textId="77777777" w:rsidR="001E1A48" w:rsidRPr="001E1A48" w:rsidRDefault="001E1A48" w:rsidP="001E1A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</w:p>
          <w:p w14:paraId="46103785" w14:textId="77777777" w:rsidR="001E1A48" w:rsidRPr="001E1A48" w:rsidRDefault="001E1A48" w:rsidP="001E1A48">
            <w:pPr>
              <w:pStyle w:val="NoSpacing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E1A48">
              <w:rPr>
                <w:rFonts w:cstheme="minorHAnsi"/>
                <w:sz w:val="22"/>
                <w:szCs w:val="22"/>
              </w:rPr>
              <w:t>As of September 2024, the core infrastructure</w:t>
            </w:r>
            <w:r w:rsidRPr="001E1A48">
              <w:rPr>
                <w:rFonts w:cstheme="minorHAnsi"/>
                <w:sz w:val="22"/>
                <w:szCs w:val="22"/>
              </w:rPr>
              <w:t xml:space="preserve">, </w:t>
            </w:r>
            <w:r w:rsidRPr="001E1A48">
              <w:rPr>
                <w:rFonts w:cstheme="minorHAnsi"/>
                <w:sz w:val="22"/>
                <w:szCs w:val="22"/>
              </w:rPr>
              <w:t>including the administrative block, immigration offices, gatehouses, paved roads, parking, and all utility installations</w:t>
            </w:r>
            <w:r w:rsidRPr="001E1A48">
              <w:rPr>
                <w:rFonts w:cstheme="minorHAnsi"/>
                <w:sz w:val="22"/>
                <w:szCs w:val="22"/>
              </w:rPr>
              <w:t xml:space="preserve">, </w:t>
            </w:r>
            <w:r w:rsidRPr="001E1A48">
              <w:rPr>
                <w:rFonts w:cstheme="minorHAnsi"/>
                <w:sz w:val="22"/>
                <w:szCs w:val="22"/>
              </w:rPr>
              <w:t>successfully entered the defect liability period.</w:t>
            </w:r>
          </w:p>
          <w:p w14:paraId="56402595" w14:textId="4481F77A" w:rsidR="001E1A48" w:rsidRPr="001E1A48" w:rsidRDefault="001E1A48" w:rsidP="001E1A48">
            <w:pPr>
              <w:pStyle w:val="NoSpacing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  <w:r w:rsidRPr="001E1A48">
              <w:rPr>
                <w:rFonts w:cstheme="minorHAnsi"/>
                <w:sz w:val="22"/>
                <w:szCs w:val="22"/>
                <w:lang w:val="en-KE"/>
              </w:rPr>
              <w:t>High-value components (lift, wastewater treatment plant, and generator) procured and staged for installation.</w:t>
            </w:r>
          </w:p>
          <w:p w14:paraId="6631F5CA" w14:textId="77777777" w:rsidR="001E1A48" w:rsidRPr="001E1A48" w:rsidRDefault="00435E90" w:rsidP="001E1A48">
            <w:pPr>
              <w:pStyle w:val="NoSpacing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  <w:r w:rsidRPr="001E1A48">
              <w:rPr>
                <w:rFonts w:cstheme="minorHAnsi"/>
                <w:sz w:val="22"/>
                <w:szCs w:val="22"/>
                <w:lang w:val="en-KE"/>
              </w:rPr>
              <w:t>Training for border agents on One Stop Border Post (OSBP) procedures was organised in collaboration with the EAC, strengthening operational readiness.</w:t>
            </w:r>
          </w:p>
          <w:p w14:paraId="5074954B" w14:textId="51488563" w:rsidR="00435E90" w:rsidRPr="001E1A48" w:rsidRDefault="00435E90" w:rsidP="001E1A48">
            <w:pPr>
              <w:pStyle w:val="NoSpacing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  <w:r w:rsidRPr="001E1A48">
              <w:rPr>
                <w:rFonts w:cstheme="minorHAnsi"/>
                <w:sz w:val="22"/>
                <w:szCs w:val="22"/>
                <w:lang w:val="en-KE"/>
              </w:rPr>
              <w:t>A bilateral agreement for OSBP operationalisation was developed by IOM with input from experts of both countries and awaits political alignment to enable full functionality.</w:t>
            </w:r>
          </w:p>
          <w:p w14:paraId="4494A315" w14:textId="77777777" w:rsidR="001E1A48" w:rsidRPr="001E1A48" w:rsidRDefault="001E1A48" w:rsidP="001E1A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KE"/>
              </w:rPr>
            </w:pPr>
          </w:p>
          <w:p w14:paraId="7529B4AD" w14:textId="4AF276B0" w:rsidR="001E1A48" w:rsidRPr="001E1A48" w:rsidRDefault="001E1A48" w:rsidP="001E1A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E1A48">
              <w:rPr>
                <w:rFonts w:cstheme="minorHAnsi"/>
                <w:b/>
                <w:bCs/>
                <w:sz w:val="22"/>
                <w:szCs w:val="22"/>
                <w:lang w:val="en-KE"/>
              </w:rPr>
              <w:t>Force Majeure:</w:t>
            </w:r>
            <w:r w:rsidRPr="001E1A48">
              <w:rPr>
                <w:rFonts w:cstheme="minorHAnsi"/>
                <w:sz w:val="22"/>
                <w:szCs w:val="22"/>
                <w:lang w:val="en-KE"/>
              </w:rPr>
              <w:t xml:space="preserve"> Due to regional insecurity around Bukavu, project implementation was suspended in February 2025. However, the suspension occurred only after the primary infrastructure was already finali</w:t>
            </w:r>
            <w:r w:rsidRPr="001E1A48">
              <w:rPr>
                <w:rFonts w:cstheme="minorHAnsi"/>
                <w:sz w:val="22"/>
                <w:szCs w:val="22"/>
                <w:lang w:val="en-KE"/>
              </w:rPr>
              <w:t>s</w:t>
            </w:r>
            <w:r w:rsidRPr="001E1A48">
              <w:rPr>
                <w:rFonts w:cstheme="minorHAnsi"/>
                <w:sz w:val="22"/>
                <w:szCs w:val="22"/>
                <w:lang w:val="en-KE"/>
              </w:rPr>
              <w:t>ed.</w:t>
            </w:r>
          </w:p>
          <w:p w14:paraId="5BCFFC5C" w14:textId="77777777" w:rsidR="00226587" w:rsidRPr="001E1A48" w:rsidRDefault="00DE63D9" w:rsidP="00606A2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1E1A48">
              <w:rPr>
                <w:rFonts w:cstheme="minorHAnsi"/>
                <w:b/>
                <w:bCs/>
                <w:sz w:val="22"/>
                <w:szCs w:val="22"/>
              </w:rPr>
              <w:t>Phase 1 B of the project</w:t>
            </w:r>
          </w:p>
          <w:p w14:paraId="7F6D5917" w14:textId="1977ED73" w:rsidR="00842ED5" w:rsidRPr="001E1A48" w:rsidRDefault="00606A2A" w:rsidP="00606A2A">
            <w:pPr>
              <w:pStyle w:val="NoSpacing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E1A48">
              <w:rPr>
                <w:rFonts w:cstheme="minorHAnsi"/>
                <w:sz w:val="22"/>
                <w:szCs w:val="22"/>
              </w:rPr>
              <w:t>Continuous engagement with border agencies, traders, and local stakeholders is helping maintain momentum, align implementation plans with evolving security conditions, and ensure readiness to resume works without delay.</w:t>
            </w:r>
          </w:p>
        </w:tc>
      </w:tr>
      <w:tr w:rsidR="00842ED5" w:rsidRPr="001E1A48" w14:paraId="5A3D4E36" w14:textId="77777777" w:rsidTr="005F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5D032A" w14:textId="77777777" w:rsidR="00842ED5" w:rsidRPr="001E1A48" w:rsidRDefault="00842ED5" w:rsidP="00842ED5">
            <w:pPr>
              <w:spacing w:after="60"/>
              <w:rPr>
                <w:rFonts w:eastAsia="Cambria" w:cstheme="minorHAnsi"/>
                <w:b w:val="0"/>
              </w:rPr>
            </w:pPr>
            <w:r w:rsidRPr="001E1A48">
              <w:rPr>
                <w:rFonts w:eastAsia="Cambria" w:cstheme="minorHAnsi"/>
              </w:rPr>
              <w:t>Contact</w:t>
            </w:r>
          </w:p>
        </w:tc>
        <w:tc>
          <w:tcPr>
            <w:tcW w:w="8221" w:type="dxa"/>
          </w:tcPr>
          <w:p w14:paraId="75C068F3" w14:textId="06B340F7" w:rsidR="00842ED5" w:rsidRPr="001E1A48" w:rsidRDefault="008242E8" w:rsidP="008242E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kern w:val="2"/>
                <w14:ligatures w14:val="standardContextual"/>
              </w:rPr>
            </w:pPr>
            <w:r w:rsidRPr="001E1A48">
              <w:rPr>
                <w:rFonts w:cstheme="minorHAnsi"/>
                <w:kern w:val="2"/>
                <w14:ligatures w14:val="standardContextual"/>
              </w:rPr>
              <w:t>Aimé Nzoyihera</w:t>
            </w:r>
            <w:r w:rsidR="00842ED5" w:rsidRPr="001E1A48">
              <w:rPr>
                <w:rFonts w:cstheme="minorHAnsi"/>
                <w:kern w:val="2"/>
                <w14:ligatures w14:val="standardContextual"/>
              </w:rPr>
              <w:t>– County Director, D</w:t>
            </w:r>
            <w:r w:rsidRPr="001E1A48">
              <w:rPr>
                <w:rFonts w:cstheme="minorHAnsi"/>
                <w:kern w:val="2"/>
                <w14:ligatures w14:val="standardContextual"/>
              </w:rPr>
              <w:t>RC</w:t>
            </w:r>
          </w:p>
          <w:p w14:paraId="554F31FB" w14:textId="47E6521A" w:rsidR="00842ED5" w:rsidRPr="001E1A48" w:rsidRDefault="00842ED5" w:rsidP="00842ED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inorHAnsi"/>
              </w:rPr>
            </w:pPr>
            <w:r w:rsidRPr="001E1A48">
              <w:rPr>
                <w:rFonts w:cstheme="minorHAnsi"/>
              </w:rPr>
              <w:t xml:space="preserve"> </w:t>
            </w:r>
            <w:r w:rsidR="00D7204C" w:rsidRPr="001E1A48">
              <w:rPr>
                <w:rFonts w:cstheme="minorHAnsi"/>
              </w:rPr>
              <w:t>Email :</w:t>
            </w:r>
            <w:r w:rsidRPr="001E1A48">
              <w:rPr>
                <w:rFonts w:cstheme="minorHAnsi"/>
              </w:rPr>
              <w:t xml:space="preserve"> </w:t>
            </w:r>
            <w:hyperlink r:id="rId10" w:history="1">
              <w:r w:rsidR="008242E8" w:rsidRPr="001E1A48">
                <w:rPr>
                  <w:rStyle w:val="Hyperlink"/>
                  <w:rFonts w:cstheme="minorHAnsi"/>
                </w:rPr>
                <w:t>aime.nzoyihera@trademarkafrica.com</w:t>
              </w:r>
            </w:hyperlink>
            <w:r w:rsidR="008242E8" w:rsidRPr="001E1A48">
              <w:rPr>
                <w:rFonts w:cstheme="minorHAnsi"/>
              </w:rPr>
              <w:t xml:space="preserve"> </w:t>
            </w:r>
          </w:p>
        </w:tc>
      </w:tr>
    </w:tbl>
    <w:p w14:paraId="3BC90775" w14:textId="77777777" w:rsidR="006120D0" w:rsidRPr="001E1A48" w:rsidRDefault="006120D0" w:rsidP="00AF3F70">
      <w:pPr>
        <w:rPr>
          <w:rFonts w:cstheme="minorHAnsi"/>
        </w:rPr>
      </w:pPr>
    </w:p>
    <w:sectPr w:rsidR="006120D0" w:rsidRPr="001E1A48" w:rsidSect="00F238C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6F4C" w14:textId="77777777" w:rsidR="00E95759" w:rsidRPr="003D4A90" w:rsidRDefault="00E95759">
      <w:pPr>
        <w:spacing w:after="0" w:line="240" w:lineRule="auto"/>
      </w:pPr>
      <w:r w:rsidRPr="003D4A90">
        <w:separator/>
      </w:r>
    </w:p>
  </w:endnote>
  <w:endnote w:type="continuationSeparator" w:id="0">
    <w:p w14:paraId="6440F28B" w14:textId="77777777" w:rsidR="00E95759" w:rsidRPr="003D4A90" w:rsidRDefault="00E95759">
      <w:pPr>
        <w:spacing w:after="0" w:line="240" w:lineRule="auto"/>
      </w:pPr>
      <w:r w:rsidRPr="003D4A90">
        <w:continuationSeparator/>
      </w:r>
    </w:p>
  </w:endnote>
  <w:endnote w:type="continuationNotice" w:id="1">
    <w:p w14:paraId="31AEC06D" w14:textId="77777777" w:rsidR="00E95759" w:rsidRPr="003D4A90" w:rsidRDefault="00E95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44A7" w14:textId="58676E1F" w:rsidR="00363729" w:rsidRPr="003D4A90" w:rsidRDefault="00462D67" w:rsidP="00462D67">
    <w:pPr>
      <w:pStyle w:val="Footer"/>
      <w:jc w:val="center"/>
    </w:pPr>
    <w:r w:rsidRPr="003D4A90">
      <w:fldChar w:fldCharType="begin"/>
    </w:r>
    <w:r w:rsidRPr="003D4A90">
      <w:instrText>PAGE   \* MERGEFORMAT</w:instrText>
    </w:r>
    <w:r w:rsidRPr="003D4A90">
      <w:fldChar w:fldCharType="separate"/>
    </w:r>
    <w:r w:rsidRPr="003D4A90">
      <w:t>1</w:t>
    </w:r>
    <w:r w:rsidRPr="003D4A9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241E" w14:textId="77777777" w:rsidR="00E95759" w:rsidRPr="003D4A90" w:rsidRDefault="00E95759">
      <w:pPr>
        <w:spacing w:after="0" w:line="240" w:lineRule="auto"/>
      </w:pPr>
      <w:r w:rsidRPr="003D4A90">
        <w:separator/>
      </w:r>
    </w:p>
  </w:footnote>
  <w:footnote w:type="continuationSeparator" w:id="0">
    <w:p w14:paraId="067D941F" w14:textId="77777777" w:rsidR="00E95759" w:rsidRPr="003D4A90" w:rsidRDefault="00E95759">
      <w:pPr>
        <w:spacing w:after="0" w:line="240" w:lineRule="auto"/>
      </w:pPr>
      <w:r w:rsidRPr="003D4A90">
        <w:continuationSeparator/>
      </w:r>
    </w:p>
  </w:footnote>
  <w:footnote w:type="continuationNotice" w:id="1">
    <w:p w14:paraId="40D31445" w14:textId="77777777" w:rsidR="00E95759" w:rsidRPr="003D4A90" w:rsidRDefault="00E957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B31C" w14:textId="60B50C8E" w:rsidR="00363729" w:rsidRPr="003D4A90" w:rsidRDefault="007118A9">
    <w:pPr>
      <w:pStyle w:val="Header"/>
      <w:jc w:val="right"/>
    </w:pPr>
    <w:r w:rsidRPr="003D4A90">
      <w:rPr>
        <w:noProof/>
      </w:rPr>
      <w:drawing>
        <wp:inline distT="0" distB="0" distL="0" distR="0" wp14:anchorId="1CAF9BB3" wp14:editId="28D5BF60">
          <wp:extent cx="844506" cy="720356"/>
          <wp:effectExtent l="0" t="0" r="0" b="3810"/>
          <wp:docPr id="18976562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656280" name="Picture 1897656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160" cy="73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21A"/>
    <w:multiLevelType w:val="hybridMultilevel"/>
    <w:tmpl w:val="97DC6AB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17206"/>
    <w:multiLevelType w:val="hybridMultilevel"/>
    <w:tmpl w:val="3C526B4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554D0"/>
    <w:multiLevelType w:val="multilevel"/>
    <w:tmpl w:val="CF50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83F40"/>
    <w:multiLevelType w:val="hybridMultilevel"/>
    <w:tmpl w:val="9690A7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2E09"/>
    <w:multiLevelType w:val="hybridMultilevel"/>
    <w:tmpl w:val="B4A0E5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26CD"/>
    <w:multiLevelType w:val="hybridMultilevel"/>
    <w:tmpl w:val="A0149A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3516"/>
    <w:multiLevelType w:val="multilevel"/>
    <w:tmpl w:val="BC70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27AD1"/>
    <w:multiLevelType w:val="hybridMultilevel"/>
    <w:tmpl w:val="E6165596"/>
    <w:lvl w:ilvl="0" w:tplc="4620AE9E">
      <w:numFmt w:val="bullet"/>
      <w:lvlText w:val="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9477EA"/>
    <w:multiLevelType w:val="hybridMultilevel"/>
    <w:tmpl w:val="2B3E4B6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220A02"/>
    <w:multiLevelType w:val="multilevel"/>
    <w:tmpl w:val="3082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D2623"/>
    <w:multiLevelType w:val="hybridMultilevel"/>
    <w:tmpl w:val="9E886D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A1A46"/>
    <w:multiLevelType w:val="hybridMultilevel"/>
    <w:tmpl w:val="6400E2B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D03407"/>
    <w:multiLevelType w:val="hybridMultilevel"/>
    <w:tmpl w:val="5CC68F4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9B0894"/>
    <w:multiLevelType w:val="hybridMultilevel"/>
    <w:tmpl w:val="82125ED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F1775"/>
    <w:multiLevelType w:val="hybridMultilevel"/>
    <w:tmpl w:val="2D06CA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8714C"/>
    <w:multiLevelType w:val="hybridMultilevel"/>
    <w:tmpl w:val="9D7E69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F5DAA"/>
    <w:multiLevelType w:val="hybridMultilevel"/>
    <w:tmpl w:val="3DB6D46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B911E2"/>
    <w:multiLevelType w:val="hybridMultilevel"/>
    <w:tmpl w:val="79E6FA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808A9"/>
    <w:multiLevelType w:val="multilevel"/>
    <w:tmpl w:val="C44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7E38A7"/>
    <w:multiLevelType w:val="hybridMultilevel"/>
    <w:tmpl w:val="5944FF4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C6EFB"/>
    <w:multiLevelType w:val="hybridMultilevel"/>
    <w:tmpl w:val="988A5E6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803D35"/>
    <w:multiLevelType w:val="multilevel"/>
    <w:tmpl w:val="90A6D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051CCC"/>
    <w:multiLevelType w:val="multilevel"/>
    <w:tmpl w:val="CC48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C53F27"/>
    <w:multiLevelType w:val="multilevel"/>
    <w:tmpl w:val="90A6D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2F211B"/>
    <w:multiLevelType w:val="multilevel"/>
    <w:tmpl w:val="9A10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1B0FD0"/>
    <w:multiLevelType w:val="hybridMultilevel"/>
    <w:tmpl w:val="AE6E3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356FDA"/>
    <w:multiLevelType w:val="hybridMultilevel"/>
    <w:tmpl w:val="7CD21A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26CF7"/>
    <w:multiLevelType w:val="hybridMultilevel"/>
    <w:tmpl w:val="092C187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DA2367"/>
    <w:multiLevelType w:val="hybridMultilevel"/>
    <w:tmpl w:val="9F1EBB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F64A1"/>
    <w:multiLevelType w:val="hybridMultilevel"/>
    <w:tmpl w:val="76A282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376F4"/>
    <w:multiLevelType w:val="multilevel"/>
    <w:tmpl w:val="5FFA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8666D"/>
    <w:multiLevelType w:val="hybridMultilevel"/>
    <w:tmpl w:val="7BEEBE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B732F"/>
    <w:multiLevelType w:val="hybridMultilevel"/>
    <w:tmpl w:val="0D502E80"/>
    <w:lvl w:ilvl="0" w:tplc="12A6DB78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4619E"/>
    <w:multiLevelType w:val="hybridMultilevel"/>
    <w:tmpl w:val="41DC229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5A43F6"/>
    <w:multiLevelType w:val="hybridMultilevel"/>
    <w:tmpl w:val="113209C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3C1903"/>
    <w:multiLevelType w:val="hybridMultilevel"/>
    <w:tmpl w:val="8B688B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3552B"/>
    <w:multiLevelType w:val="hybridMultilevel"/>
    <w:tmpl w:val="1E6EE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C1F62"/>
    <w:multiLevelType w:val="hybridMultilevel"/>
    <w:tmpl w:val="451238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82414"/>
    <w:multiLevelType w:val="hybridMultilevel"/>
    <w:tmpl w:val="F1E8E868"/>
    <w:lvl w:ilvl="0" w:tplc="C46A9E5E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00FE1"/>
    <w:multiLevelType w:val="hybridMultilevel"/>
    <w:tmpl w:val="B7220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83A05"/>
    <w:multiLevelType w:val="hybridMultilevel"/>
    <w:tmpl w:val="39E6BFD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C5157B"/>
    <w:multiLevelType w:val="multilevel"/>
    <w:tmpl w:val="92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3E4E0F"/>
    <w:multiLevelType w:val="hybridMultilevel"/>
    <w:tmpl w:val="D8EC50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463D6"/>
    <w:multiLevelType w:val="hybridMultilevel"/>
    <w:tmpl w:val="92C039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B1301"/>
    <w:multiLevelType w:val="hybridMultilevel"/>
    <w:tmpl w:val="91F86B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F1241"/>
    <w:multiLevelType w:val="hybridMultilevel"/>
    <w:tmpl w:val="8D58F4F4"/>
    <w:lvl w:ilvl="0" w:tplc="4620AE9E">
      <w:numFmt w:val="bullet"/>
      <w:lvlText w:val="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14144">
    <w:abstractNumId w:val="25"/>
  </w:num>
  <w:num w:numId="2" w16cid:durableId="390152176">
    <w:abstractNumId w:val="5"/>
  </w:num>
  <w:num w:numId="3" w16cid:durableId="1648590634">
    <w:abstractNumId w:val="29"/>
  </w:num>
  <w:num w:numId="4" w16cid:durableId="1815482256">
    <w:abstractNumId w:val="41"/>
  </w:num>
  <w:num w:numId="5" w16cid:durableId="799152830">
    <w:abstractNumId w:val="21"/>
  </w:num>
  <w:num w:numId="6" w16cid:durableId="1740516456">
    <w:abstractNumId w:val="34"/>
  </w:num>
  <w:num w:numId="7" w16cid:durableId="935552207">
    <w:abstractNumId w:val="24"/>
  </w:num>
  <w:num w:numId="8" w16cid:durableId="56517229">
    <w:abstractNumId w:val="30"/>
  </w:num>
  <w:num w:numId="9" w16cid:durableId="1011492222">
    <w:abstractNumId w:val="18"/>
  </w:num>
  <w:num w:numId="10" w16cid:durableId="260920905">
    <w:abstractNumId w:val="1"/>
  </w:num>
  <w:num w:numId="11" w16cid:durableId="1828201377">
    <w:abstractNumId w:val="11"/>
  </w:num>
  <w:num w:numId="12" w16cid:durableId="1261570313">
    <w:abstractNumId w:val="27"/>
  </w:num>
  <w:num w:numId="13" w16cid:durableId="544952118">
    <w:abstractNumId w:val="4"/>
  </w:num>
  <w:num w:numId="14" w16cid:durableId="722868289">
    <w:abstractNumId w:val="45"/>
  </w:num>
  <w:num w:numId="15" w16cid:durableId="1067991044">
    <w:abstractNumId w:val="7"/>
  </w:num>
  <w:num w:numId="16" w16cid:durableId="1359744579">
    <w:abstractNumId w:val="20"/>
  </w:num>
  <w:num w:numId="17" w16cid:durableId="1660964319">
    <w:abstractNumId w:val="23"/>
  </w:num>
  <w:num w:numId="18" w16cid:durableId="1035426345">
    <w:abstractNumId w:val="14"/>
  </w:num>
  <w:num w:numId="19" w16cid:durableId="1892382591">
    <w:abstractNumId w:val="9"/>
  </w:num>
  <w:num w:numId="20" w16cid:durableId="1104419555">
    <w:abstractNumId w:val="12"/>
  </w:num>
  <w:num w:numId="21" w16cid:durableId="1252352440">
    <w:abstractNumId w:val="2"/>
  </w:num>
  <w:num w:numId="22" w16cid:durableId="1751580735">
    <w:abstractNumId w:val="13"/>
  </w:num>
  <w:num w:numId="23" w16cid:durableId="1470324954">
    <w:abstractNumId w:val="6"/>
  </w:num>
  <w:num w:numId="24" w16cid:durableId="527106228">
    <w:abstractNumId w:val="8"/>
  </w:num>
  <w:num w:numId="25" w16cid:durableId="1095173789">
    <w:abstractNumId w:val="35"/>
  </w:num>
  <w:num w:numId="26" w16cid:durableId="1169439981">
    <w:abstractNumId w:val="22"/>
  </w:num>
  <w:num w:numId="27" w16cid:durableId="1613702096">
    <w:abstractNumId w:val="16"/>
  </w:num>
  <w:num w:numId="28" w16cid:durableId="1820534155">
    <w:abstractNumId w:val="42"/>
  </w:num>
  <w:num w:numId="29" w16cid:durableId="2040812667">
    <w:abstractNumId w:val="26"/>
  </w:num>
  <w:num w:numId="30" w16cid:durableId="1996253817">
    <w:abstractNumId w:val="38"/>
  </w:num>
  <w:num w:numId="31" w16cid:durableId="1234004697">
    <w:abstractNumId w:val="0"/>
  </w:num>
  <w:num w:numId="32" w16cid:durableId="1007176046">
    <w:abstractNumId w:val="31"/>
  </w:num>
  <w:num w:numId="33" w16cid:durableId="1649625834">
    <w:abstractNumId w:val="19"/>
  </w:num>
  <w:num w:numId="34" w16cid:durableId="2091542727">
    <w:abstractNumId w:val="37"/>
  </w:num>
  <w:num w:numId="35" w16cid:durableId="749891181">
    <w:abstractNumId w:val="32"/>
  </w:num>
  <w:num w:numId="36" w16cid:durableId="144782331">
    <w:abstractNumId w:val="33"/>
  </w:num>
  <w:num w:numId="37" w16cid:durableId="1104567714">
    <w:abstractNumId w:val="36"/>
  </w:num>
  <w:num w:numId="38" w16cid:durableId="1161239170">
    <w:abstractNumId w:val="17"/>
  </w:num>
  <w:num w:numId="39" w16cid:durableId="72896146">
    <w:abstractNumId w:val="40"/>
  </w:num>
  <w:num w:numId="40" w16cid:durableId="976491651">
    <w:abstractNumId w:val="15"/>
  </w:num>
  <w:num w:numId="41" w16cid:durableId="1438212845">
    <w:abstractNumId w:val="43"/>
  </w:num>
  <w:num w:numId="42" w16cid:durableId="442648800">
    <w:abstractNumId w:val="3"/>
  </w:num>
  <w:num w:numId="43" w16cid:durableId="1638953258">
    <w:abstractNumId w:val="10"/>
  </w:num>
  <w:num w:numId="44" w16cid:durableId="17852358">
    <w:abstractNumId w:val="39"/>
  </w:num>
  <w:num w:numId="45" w16cid:durableId="200633894">
    <w:abstractNumId w:val="44"/>
  </w:num>
  <w:num w:numId="46" w16cid:durableId="6208894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96"/>
    <w:rsid w:val="000163E1"/>
    <w:rsid w:val="00021A51"/>
    <w:rsid w:val="00035F2E"/>
    <w:rsid w:val="000420E1"/>
    <w:rsid w:val="0005658A"/>
    <w:rsid w:val="0005703D"/>
    <w:rsid w:val="0007530C"/>
    <w:rsid w:val="00097E8E"/>
    <w:rsid w:val="000A3A85"/>
    <w:rsid w:val="000B43D7"/>
    <w:rsid w:val="000B4DFF"/>
    <w:rsid w:val="000D73B5"/>
    <w:rsid w:val="000F3DDD"/>
    <w:rsid w:val="00112003"/>
    <w:rsid w:val="0014767E"/>
    <w:rsid w:val="00170EE6"/>
    <w:rsid w:val="001959DF"/>
    <w:rsid w:val="001A0AD7"/>
    <w:rsid w:val="001A48F5"/>
    <w:rsid w:val="001D3FE8"/>
    <w:rsid w:val="001E1A48"/>
    <w:rsid w:val="002007A8"/>
    <w:rsid w:val="00226587"/>
    <w:rsid w:val="00227356"/>
    <w:rsid w:val="00232849"/>
    <w:rsid w:val="002578FD"/>
    <w:rsid w:val="00260989"/>
    <w:rsid w:val="00262271"/>
    <w:rsid w:val="00267E51"/>
    <w:rsid w:val="002A48F0"/>
    <w:rsid w:val="002C48B4"/>
    <w:rsid w:val="002E0BBA"/>
    <w:rsid w:val="002E7DA4"/>
    <w:rsid w:val="00305EA8"/>
    <w:rsid w:val="00314E92"/>
    <w:rsid w:val="0032722A"/>
    <w:rsid w:val="00340D75"/>
    <w:rsid w:val="00343986"/>
    <w:rsid w:val="003475D8"/>
    <w:rsid w:val="00363729"/>
    <w:rsid w:val="00365060"/>
    <w:rsid w:val="00372EBD"/>
    <w:rsid w:val="0038074A"/>
    <w:rsid w:val="003A126B"/>
    <w:rsid w:val="003A3A82"/>
    <w:rsid w:val="003B4907"/>
    <w:rsid w:val="003C6713"/>
    <w:rsid w:val="003D4A90"/>
    <w:rsid w:val="00403260"/>
    <w:rsid w:val="00412D52"/>
    <w:rsid w:val="00414E75"/>
    <w:rsid w:val="00423E2D"/>
    <w:rsid w:val="00435E90"/>
    <w:rsid w:val="004445EC"/>
    <w:rsid w:val="00450D39"/>
    <w:rsid w:val="00462D67"/>
    <w:rsid w:val="00465430"/>
    <w:rsid w:val="00470C37"/>
    <w:rsid w:val="00485513"/>
    <w:rsid w:val="00493DB9"/>
    <w:rsid w:val="004A3EB4"/>
    <w:rsid w:val="004C0A74"/>
    <w:rsid w:val="004E55DF"/>
    <w:rsid w:val="00526746"/>
    <w:rsid w:val="00581B21"/>
    <w:rsid w:val="00591A27"/>
    <w:rsid w:val="00597E59"/>
    <w:rsid w:val="005A4F1A"/>
    <w:rsid w:val="005A6DBC"/>
    <w:rsid w:val="005B534B"/>
    <w:rsid w:val="005B7F72"/>
    <w:rsid w:val="005C4640"/>
    <w:rsid w:val="005E5D7E"/>
    <w:rsid w:val="005F0278"/>
    <w:rsid w:val="005F124B"/>
    <w:rsid w:val="005F37C1"/>
    <w:rsid w:val="00601554"/>
    <w:rsid w:val="00606A2A"/>
    <w:rsid w:val="006120D0"/>
    <w:rsid w:val="00632588"/>
    <w:rsid w:val="0063386D"/>
    <w:rsid w:val="006529A5"/>
    <w:rsid w:val="00655282"/>
    <w:rsid w:val="00657521"/>
    <w:rsid w:val="00666E59"/>
    <w:rsid w:val="006D0316"/>
    <w:rsid w:val="006F1C40"/>
    <w:rsid w:val="00704856"/>
    <w:rsid w:val="007118A9"/>
    <w:rsid w:val="00716564"/>
    <w:rsid w:val="007260D2"/>
    <w:rsid w:val="00740458"/>
    <w:rsid w:val="007473FF"/>
    <w:rsid w:val="0077781E"/>
    <w:rsid w:val="007945E0"/>
    <w:rsid w:val="007B20AC"/>
    <w:rsid w:val="007D1B33"/>
    <w:rsid w:val="007D6A39"/>
    <w:rsid w:val="00810823"/>
    <w:rsid w:val="008242E8"/>
    <w:rsid w:val="0084248F"/>
    <w:rsid w:val="00842ED5"/>
    <w:rsid w:val="0084314F"/>
    <w:rsid w:val="00875285"/>
    <w:rsid w:val="008810ED"/>
    <w:rsid w:val="00896702"/>
    <w:rsid w:val="008B22A2"/>
    <w:rsid w:val="008D339B"/>
    <w:rsid w:val="008D3BA7"/>
    <w:rsid w:val="008D3BE8"/>
    <w:rsid w:val="008E3FC9"/>
    <w:rsid w:val="0090222B"/>
    <w:rsid w:val="00907571"/>
    <w:rsid w:val="009217E2"/>
    <w:rsid w:val="0092350F"/>
    <w:rsid w:val="009563E2"/>
    <w:rsid w:val="00957029"/>
    <w:rsid w:val="0096050A"/>
    <w:rsid w:val="00964B46"/>
    <w:rsid w:val="009970CB"/>
    <w:rsid w:val="009A3E6C"/>
    <w:rsid w:val="009B13B6"/>
    <w:rsid w:val="009C0D61"/>
    <w:rsid w:val="009C718B"/>
    <w:rsid w:val="009C767C"/>
    <w:rsid w:val="009D46AB"/>
    <w:rsid w:val="00A31066"/>
    <w:rsid w:val="00A42E4A"/>
    <w:rsid w:val="00A440D7"/>
    <w:rsid w:val="00A52281"/>
    <w:rsid w:val="00A67C5F"/>
    <w:rsid w:val="00A73C54"/>
    <w:rsid w:val="00A749ED"/>
    <w:rsid w:val="00A755EE"/>
    <w:rsid w:val="00AB1BC7"/>
    <w:rsid w:val="00AF3F70"/>
    <w:rsid w:val="00B151E6"/>
    <w:rsid w:val="00B229DA"/>
    <w:rsid w:val="00B367B6"/>
    <w:rsid w:val="00B46920"/>
    <w:rsid w:val="00B6115F"/>
    <w:rsid w:val="00B61311"/>
    <w:rsid w:val="00B70801"/>
    <w:rsid w:val="00B7390D"/>
    <w:rsid w:val="00B80096"/>
    <w:rsid w:val="00B810D4"/>
    <w:rsid w:val="00B92B35"/>
    <w:rsid w:val="00BA00EA"/>
    <w:rsid w:val="00BA0EC5"/>
    <w:rsid w:val="00BB4E70"/>
    <w:rsid w:val="00BD5336"/>
    <w:rsid w:val="00C034BB"/>
    <w:rsid w:val="00C143E7"/>
    <w:rsid w:val="00C301AE"/>
    <w:rsid w:val="00C70588"/>
    <w:rsid w:val="00C72211"/>
    <w:rsid w:val="00C87D99"/>
    <w:rsid w:val="00C93989"/>
    <w:rsid w:val="00CB2071"/>
    <w:rsid w:val="00CB3EAF"/>
    <w:rsid w:val="00CB74E1"/>
    <w:rsid w:val="00CD52C8"/>
    <w:rsid w:val="00CE10CA"/>
    <w:rsid w:val="00D06AD3"/>
    <w:rsid w:val="00D235B9"/>
    <w:rsid w:val="00D31AA0"/>
    <w:rsid w:val="00D34367"/>
    <w:rsid w:val="00D4604C"/>
    <w:rsid w:val="00D57CC2"/>
    <w:rsid w:val="00D7204C"/>
    <w:rsid w:val="00D73C63"/>
    <w:rsid w:val="00D743F6"/>
    <w:rsid w:val="00D752D7"/>
    <w:rsid w:val="00D8245A"/>
    <w:rsid w:val="00D8635A"/>
    <w:rsid w:val="00DB467B"/>
    <w:rsid w:val="00DE4FE8"/>
    <w:rsid w:val="00DE63D9"/>
    <w:rsid w:val="00DF7D7C"/>
    <w:rsid w:val="00E055B4"/>
    <w:rsid w:val="00E20185"/>
    <w:rsid w:val="00E37D48"/>
    <w:rsid w:val="00E40441"/>
    <w:rsid w:val="00E475BC"/>
    <w:rsid w:val="00E655F4"/>
    <w:rsid w:val="00E71091"/>
    <w:rsid w:val="00E741F3"/>
    <w:rsid w:val="00E95759"/>
    <w:rsid w:val="00EA49F6"/>
    <w:rsid w:val="00EC4DAC"/>
    <w:rsid w:val="00EC5423"/>
    <w:rsid w:val="00EF69AE"/>
    <w:rsid w:val="00F238C9"/>
    <w:rsid w:val="00F3444D"/>
    <w:rsid w:val="00F40A8C"/>
    <w:rsid w:val="00F511DC"/>
    <w:rsid w:val="00F970F9"/>
    <w:rsid w:val="00FA7F74"/>
    <w:rsid w:val="00FC0C96"/>
    <w:rsid w:val="00FC6B11"/>
    <w:rsid w:val="00FE3A12"/>
    <w:rsid w:val="00FE577E"/>
    <w:rsid w:val="00FE776D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5349"/>
  <w15:chartTrackingRefBased/>
  <w15:docId w15:val="{27E70085-FB79-4FFF-B60D-6F0F3667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FE8"/>
  </w:style>
  <w:style w:type="paragraph" w:styleId="Footer">
    <w:name w:val="footer"/>
    <w:basedOn w:val="Normal"/>
    <w:link w:val="FooterChar"/>
    <w:uiPriority w:val="99"/>
    <w:unhideWhenUsed/>
    <w:rsid w:val="00DE4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FE8"/>
  </w:style>
  <w:style w:type="table" w:styleId="TableGrid">
    <w:name w:val="Table Grid"/>
    <w:basedOn w:val="TableNormal"/>
    <w:uiPriority w:val="39"/>
    <w:rsid w:val="000D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0D4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C143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5">
    <w:name w:val="Grid Table 4 Accent 5"/>
    <w:basedOn w:val="TableNormal"/>
    <w:uiPriority w:val="49"/>
    <w:rsid w:val="00E404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18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20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59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F72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F72"/>
    <w:rPr>
      <w:vertAlign w:val="superscript"/>
    </w:rPr>
  </w:style>
  <w:style w:type="character" w:styleId="Strong">
    <w:name w:val="Strong"/>
    <w:basedOn w:val="DefaultParagraphFont"/>
    <w:uiPriority w:val="22"/>
    <w:qFormat/>
    <w:rsid w:val="00232849"/>
    <w:rPr>
      <w:b/>
      <w:bCs/>
    </w:rPr>
  </w:style>
  <w:style w:type="paragraph" w:styleId="Revision">
    <w:name w:val="Revision"/>
    <w:hidden/>
    <w:uiPriority w:val="99"/>
    <w:semiHidden/>
    <w:rsid w:val="001A0AD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70E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0EE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NoSpacing">
    <w:name w:val="No Spacing"/>
    <w:uiPriority w:val="1"/>
    <w:qFormat/>
    <w:rsid w:val="00170EE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752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ime.nzoyihera@trademarkafric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4d6b4f-33d1-4524-a8de-e451403a781e">
      <Terms xmlns="http://schemas.microsoft.com/office/infopath/2007/PartnerControls"/>
    </lcf76f155ced4ddcb4097134ff3c332f>
    <TaxCatchAll xmlns="c458650c-5ef3-4079-ab6e-5d9208a672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14FA8FC0B9A42B38847B854648B6C" ma:contentTypeVersion="12" ma:contentTypeDescription="Create a new document." ma:contentTypeScope="" ma:versionID="2c9dbb6d4a53cc8511d2d68d3a69fb29">
  <xsd:schema xmlns:xsd="http://www.w3.org/2001/XMLSchema" xmlns:xs="http://www.w3.org/2001/XMLSchema" xmlns:p="http://schemas.microsoft.com/office/2006/metadata/properties" xmlns:ns2="c04d6b4f-33d1-4524-a8de-e451403a781e" xmlns:ns3="c458650c-5ef3-4079-ab6e-5d9208a6729c" targetNamespace="http://schemas.microsoft.com/office/2006/metadata/properties" ma:root="true" ma:fieldsID="fb6302cdca5c638de6d8fed2271b2c12" ns2:_="" ns3:_="">
    <xsd:import namespace="c04d6b4f-33d1-4524-a8de-e451403a781e"/>
    <xsd:import namespace="c458650c-5ef3-4079-ab6e-5d9208a6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d6b4f-33d1-4524-a8de-e451403a7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7d0c54-adc9-496d-8ad3-b484b43a4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8650c-5ef3-4079-ab6e-5d9208a672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978d2b-b997-408a-9508-f5f562d5f164}" ma:internalName="TaxCatchAll" ma:showField="CatchAllData" ma:web="c458650c-5ef3-4079-ab6e-5d9208a6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35B0B-3EA8-458D-8281-32A0ABA07C15}">
  <ds:schemaRefs>
    <ds:schemaRef ds:uri="http://schemas.microsoft.com/office/2006/metadata/properties"/>
    <ds:schemaRef ds:uri="http://schemas.microsoft.com/office/infopath/2007/PartnerControls"/>
    <ds:schemaRef ds:uri="c04d6b4f-33d1-4524-a8de-e451403a781e"/>
    <ds:schemaRef ds:uri="c458650c-5ef3-4079-ab6e-5d9208a6729c"/>
  </ds:schemaRefs>
</ds:datastoreItem>
</file>

<file path=customXml/itemProps2.xml><?xml version="1.0" encoding="utf-8"?>
<ds:datastoreItem xmlns:ds="http://schemas.openxmlformats.org/officeDocument/2006/customXml" ds:itemID="{105FDB1B-5151-4CA1-B439-1EFC5AACB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d6b4f-33d1-4524-a8de-e451403a781e"/>
    <ds:schemaRef ds:uri="c458650c-5ef3-4079-ab6e-5d9208a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04412-B626-4409-9E85-23F9502A2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645</Words>
  <Characters>4154</Characters>
  <Application>Microsoft Office Word</Application>
  <DocSecurity>0</DocSecurity>
  <Lines>86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Sylviah Luseno</dc:creator>
  <cp:keywords/>
  <dc:description/>
  <cp:lastModifiedBy>Shiro Mbiruru</cp:lastModifiedBy>
  <cp:revision>8</cp:revision>
  <dcterms:created xsi:type="dcterms:W3CDTF">2025-08-19T10:00:00Z</dcterms:created>
  <dcterms:modified xsi:type="dcterms:W3CDTF">2026-04-19T12:00:00Z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9e0983-05e3-46a0-b893-ff28b8cf1441_Enabled">
    <vt:lpwstr>true</vt:lpwstr>
  </property>
  <property fmtid="{D5CDD505-2E9C-101B-9397-08002B2CF9AE}" pid="3" name="MSIP_Label_589e0983-05e3-46a0-b893-ff28b8cf1441_SetDate">
    <vt:lpwstr>2024-05-02T06:25:45Z</vt:lpwstr>
  </property>
  <property fmtid="{D5CDD505-2E9C-101B-9397-08002B2CF9AE}" pid="4" name="MSIP_Label_589e0983-05e3-46a0-b893-ff28b8cf1441_Method">
    <vt:lpwstr>Standard</vt:lpwstr>
  </property>
  <property fmtid="{D5CDD505-2E9C-101B-9397-08002B2CF9AE}" pid="5" name="MSIP_Label_589e0983-05e3-46a0-b893-ff28b8cf1441_Name">
    <vt:lpwstr>TMEA Public</vt:lpwstr>
  </property>
  <property fmtid="{D5CDD505-2E9C-101B-9397-08002B2CF9AE}" pid="6" name="MSIP_Label_589e0983-05e3-46a0-b893-ff28b8cf1441_SiteId">
    <vt:lpwstr>71dd2498-0b95-4eb5-8b08-940c9ea4bfb8</vt:lpwstr>
  </property>
  <property fmtid="{D5CDD505-2E9C-101B-9397-08002B2CF9AE}" pid="7" name="MSIP_Label_589e0983-05e3-46a0-b893-ff28b8cf1441_ActionId">
    <vt:lpwstr>4e8e94d5-9170-4d6e-a6e2-4fa4bcf6d326</vt:lpwstr>
  </property>
  <property fmtid="{D5CDD505-2E9C-101B-9397-08002B2CF9AE}" pid="8" name="MSIP_Label_589e0983-05e3-46a0-b893-ff28b8cf1441_ContentBits">
    <vt:lpwstr>0</vt:lpwstr>
  </property>
  <property fmtid="{D5CDD505-2E9C-101B-9397-08002B2CF9AE}" pid="9" name="ContentTypeId">
    <vt:lpwstr>0x010100A7C14FA8FC0B9A42B38847B854648B6C</vt:lpwstr>
  </property>
</Properties>
</file>