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5"/>
        <w:tblW w:w="9912" w:type="dxa"/>
        <w:tblLook w:val="04A0" w:firstRow="1" w:lastRow="0" w:firstColumn="1" w:lastColumn="0" w:noHBand="0" w:noVBand="1"/>
      </w:tblPr>
      <w:tblGrid>
        <w:gridCol w:w="2406"/>
        <w:gridCol w:w="7506"/>
      </w:tblGrid>
      <w:tr w:rsidR="000D73B5" w:rsidRPr="00BE0340" w14:paraId="26C63C31" w14:textId="77777777" w:rsidTr="00FE3A12">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406" w:type="dxa"/>
          </w:tcPr>
          <w:p w14:paraId="7C6B56A5" w14:textId="77777777" w:rsidR="000D73B5" w:rsidRPr="00BE0340" w:rsidRDefault="00C143E7" w:rsidP="00E40441">
            <w:pPr>
              <w:spacing w:after="60"/>
              <w:rPr>
                <w:rFonts w:ascii="Calibri" w:eastAsia="Cambria" w:hAnsi="Calibri" w:cs="Calibri"/>
                <w:sz w:val="24"/>
                <w:szCs w:val="24"/>
                <w:lang w:val="en-US"/>
              </w:rPr>
            </w:pPr>
            <w:r w:rsidRPr="00BE0340">
              <w:rPr>
                <w:rFonts w:ascii="Calibri" w:eastAsia="Cambria" w:hAnsi="Calibri" w:cs="Calibri"/>
                <w:sz w:val="24"/>
                <w:szCs w:val="24"/>
                <w:lang w:val="en-US"/>
              </w:rPr>
              <w:t>Project Title</w:t>
            </w:r>
            <w:r w:rsidR="000D73B5" w:rsidRPr="00BE0340">
              <w:rPr>
                <w:rFonts w:ascii="Calibri" w:eastAsia="Cambria" w:hAnsi="Calibri" w:cs="Calibri"/>
                <w:sz w:val="24"/>
                <w:szCs w:val="24"/>
                <w:lang w:val="en-US"/>
              </w:rPr>
              <w:t xml:space="preserve">               </w:t>
            </w:r>
          </w:p>
        </w:tc>
        <w:tc>
          <w:tcPr>
            <w:tcW w:w="7506" w:type="dxa"/>
          </w:tcPr>
          <w:p w14:paraId="3CE7E197" w14:textId="3863CAD4" w:rsidR="000D73B5" w:rsidRPr="00BE0340" w:rsidRDefault="003A51EF" w:rsidP="008242E8">
            <w:pPr>
              <w:spacing w:after="60"/>
              <w:jc w:val="both"/>
              <w:cnfStyle w:val="100000000000" w:firstRow="1" w:lastRow="0" w:firstColumn="0" w:lastColumn="0" w:oddVBand="0" w:evenVBand="0" w:oddHBand="0" w:evenHBand="0" w:firstRowFirstColumn="0" w:firstRowLastColumn="0" w:lastRowFirstColumn="0" w:lastRowLastColumn="0"/>
              <w:rPr>
                <w:rFonts w:ascii="Calibri" w:eastAsia="Cambria" w:hAnsi="Calibri" w:cs="Calibri"/>
                <w:sz w:val="24"/>
                <w:szCs w:val="24"/>
              </w:rPr>
            </w:pPr>
            <w:r w:rsidRPr="00BE0340">
              <w:rPr>
                <w:rFonts w:ascii="Calibri" w:eastAsia="Cambria" w:hAnsi="Calibri" w:cs="Calibri"/>
                <w:sz w:val="24"/>
                <w:szCs w:val="24"/>
              </w:rPr>
              <w:t>Mahagi One Stop Border Post (OSBP) Infrastructure Upgrade</w:t>
            </w:r>
          </w:p>
        </w:tc>
      </w:tr>
      <w:tr w:rsidR="00842ED5" w:rsidRPr="00BE0340" w14:paraId="22C901C5" w14:textId="77777777" w:rsidTr="00FE3A12">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2406" w:type="dxa"/>
          </w:tcPr>
          <w:p w14:paraId="1582DF29" w14:textId="030C7E37" w:rsidR="00842ED5" w:rsidRPr="00BE0340" w:rsidRDefault="00842ED5" w:rsidP="00842ED5">
            <w:pPr>
              <w:spacing w:after="60"/>
              <w:rPr>
                <w:rFonts w:ascii="Calibri" w:eastAsia="Cambria" w:hAnsi="Calibri" w:cs="Calibri"/>
                <w:b w:val="0"/>
                <w:sz w:val="24"/>
                <w:szCs w:val="24"/>
                <w:lang w:val="en-US"/>
              </w:rPr>
            </w:pPr>
            <w:r w:rsidRPr="00BE0340">
              <w:rPr>
                <w:rFonts w:ascii="Calibri" w:eastAsia="Cambria" w:hAnsi="Calibri" w:cs="Calibri"/>
                <w:sz w:val="24"/>
                <w:szCs w:val="24"/>
                <w:lang w:val="en-US"/>
              </w:rPr>
              <w:t>Project Leads</w:t>
            </w:r>
          </w:p>
        </w:tc>
        <w:tc>
          <w:tcPr>
            <w:tcW w:w="7506" w:type="dxa"/>
          </w:tcPr>
          <w:p w14:paraId="58B7EB41" w14:textId="63532970" w:rsidR="00842ED5" w:rsidRPr="00BE0340" w:rsidRDefault="008242E8" w:rsidP="008242E8">
            <w:pPr>
              <w:pStyle w:val="CommentText"/>
              <w:cnfStyle w:val="000000100000" w:firstRow="0" w:lastRow="0" w:firstColumn="0" w:lastColumn="0" w:oddVBand="0" w:evenVBand="0" w:oddHBand="1" w:evenHBand="0" w:firstRowFirstColumn="0" w:firstRowLastColumn="0" w:lastRowFirstColumn="0" w:lastRowLastColumn="0"/>
              <w:rPr>
                <w:sz w:val="24"/>
                <w:szCs w:val="24"/>
              </w:rPr>
            </w:pPr>
            <w:r w:rsidRPr="00BE0340">
              <w:rPr>
                <w:rFonts w:ascii="Calibri" w:hAnsi="Calibri" w:cs="Calibri"/>
                <w:sz w:val="24"/>
                <w:szCs w:val="24"/>
              </w:rPr>
              <w:t xml:space="preserve">Government of the Democratic Republic of Congo (Ministry of </w:t>
            </w:r>
            <w:r w:rsidR="009901CA" w:rsidRPr="00BE0340">
              <w:rPr>
                <w:rFonts w:ascii="Calibri" w:hAnsi="Calibri" w:cs="Calibri"/>
                <w:sz w:val="24"/>
                <w:szCs w:val="24"/>
              </w:rPr>
              <w:t>External Trade</w:t>
            </w:r>
            <w:r w:rsidRPr="00BE0340">
              <w:rPr>
                <w:rFonts w:ascii="Calibri" w:hAnsi="Calibri" w:cs="Calibri"/>
                <w:sz w:val="24"/>
                <w:szCs w:val="24"/>
              </w:rPr>
              <w:t xml:space="preserve">, </w:t>
            </w:r>
            <w:r w:rsidR="009901CA" w:rsidRPr="00BE0340">
              <w:rPr>
                <w:rFonts w:ascii="Calibri" w:hAnsi="Calibri" w:cs="Calibri"/>
                <w:sz w:val="24"/>
                <w:szCs w:val="24"/>
              </w:rPr>
              <w:t xml:space="preserve">Directorate of Immigration and Excise, </w:t>
            </w:r>
            <w:r w:rsidRPr="00BE0340">
              <w:rPr>
                <w:rFonts w:ascii="Calibri" w:hAnsi="Calibri" w:cs="Calibri"/>
                <w:sz w:val="24"/>
                <w:szCs w:val="24"/>
              </w:rPr>
              <w:t>Directorate General of Customs and Excise</w:t>
            </w:r>
            <w:r w:rsidR="009901CA" w:rsidRPr="00BE0340">
              <w:rPr>
                <w:rFonts w:ascii="Calibri" w:hAnsi="Calibri" w:cs="Calibri"/>
                <w:sz w:val="24"/>
                <w:szCs w:val="24"/>
              </w:rPr>
              <w:t xml:space="preserve">, </w:t>
            </w:r>
            <w:proofErr w:type="spellStart"/>
            <w:r w:rsidR="009901CA" w:rsidRPr="00BE0340">
              <w:rPr>
                <w:rFonts w:ascii="Calibri" w:hAnsi="Calibri" w:cs="Calibri"/>
                <w:sz w:val="24"/>
                <w:szCs w:val="24"/>
              </w:rPr>
              <w:t>Ituri</w:t>
            </w:r>
            <w:proofErr w:type="spellEnd"/>
            <w:r w:rsidR="009901CA" w:rsidRPr="00BE0340">
              <w:rPr>
                <w:rFonts w:ascii="Calibri" w:hAnsi="Calibri" w:cs="Calibri"/>
                <w:sz w:val="24"/>
                <w:szCs w:val="24"/>
              </w:rPr>
              <w:t xml:space="preserve"> Province</w:t>
            </w:r>
            <w:r w:rsidRPr="00BE0340">
              <w:rPr>
                <w:rFonts w:ascii="Calibri" w:hAnsi="Calibri" w:cs="Calibri"/>
                <w:sz w:val="24"/>
                <w:szCs w:val="24"/>
              </w:rPr>
              <w:t>), and TradeMark Africa (TMA)</w:t>
            </w:r>
          </w:p>
        </w:tc>
      </w:tr>
      <w:tr w:rsidR="00842ED5" w:rsidRPr="00BE0340" w14:paraId="2C81A430" w14:textId="77777777" w:rsidTr="00FE3A12">
        <w:trPr>
          <w:trHeight w:val="299"/>
        </w:trPr>
        <w:tc>
          <w:tcPr>
            <w:cnfStyle w:val="001000000000" w:firstRow="0" w:lastRow="0" w:firstColumn="1" w:lastColumn="0" w:oddVBand="0" w:evenVBand="0" w:oddHBand="0" w:evenHBand="0" w:firstRowFirstColumn="0" w:firstRowLastColumn="0" w:lastRowFirstColumn="0" w:lastRowLastColumn="0"/>
            <w:tcW w:w="2406" w:type="dxa"/>
          </w:tcPr>
          <w:p w14:paraId="046E0940" w14:textId="440A6350" w:rsidR="00842ED5" w:rsidRPr="00BE0340" w:rsidRDefault="00842ED5" w:rsidP="00842ED5">
            <w:pPr>
              <w:spacing w:after="60"/>
              <w:rPr>
                <w:rFonts w:ascii="Calibri" w:eastAsia="Cambria" w:hAnsi="Calibri" w:cs="Calibri"/>
                <w:sz w:val="24"/>
                <w:szCs w:val="24"/>
                <w:lang w:val="en-US"/>
              </w:rPr>
            </w:pPr>
            <w:r w:rsidRPr="00BE0340">
              <w:rPr>
                <w:rFonts w:ascii="Calibri" w:eastAsia="Cambria" w:hAnsi="Calibri" w:cs="Calibri"/>
                <w:sz w:val="24"/>
                <w:szCs w:val="24"/>
                <w:lang w:val="en-US"/>
              </w:rPr>
              <w:t xml:space="preserve">Funding </w:t>
            </w:r>
          </w:p>
        </w:tc>
        <w:tc>
          <w:tcPr>
            <w:tcW w:w="7506" w:type="dxa"/>
          </w:tcPr>
          <w:p w14:paraId="0C657D39" w14:textId="10E71D59" w:rsidR="00842ED5" w:rsidRPr="00BE0340" w:rsidRDefault="008242E8" w:rsidP="008242E8">
            <w:pPr>
              <w:spacing w:after="60"/>
              <w:cnfStyle w:val="000000000000" w:firstRow="0" w:lastRow="0" w:firstColumn="0" w:lastColumn="0" w:oddVBand="0" w:evenVBand="0" w:oddHBand="0" w:evenHBand="0" w:firstRowFirstColumn="0" w:firstRowLastColumn="0" w:lastRowFirstColumn="0" w:lastRowLastColumn="0"/>
              <w:rPr>
                <w:rFonts w:ascii="Calibri" w:eastAsia="Cambria" w:hAnsi="Calibri" w:cs="Calibri"/>
                <w:sz w:val="24"/>
                <w:szCs w:val="24"/>
                <w:lang w:val="en-US"/>
              </w:rPr>
            </w:pPr>
            <w:r w:rsidRPr="00BE0340">
              <w:rPr>
                <w:rFonts w:ascii="Calibri" w:eastAsia="Cambria" w:hAnsi="Calibri" w:cs="Calibri"/>
                <w:sz w:val="24"/>
                <w:szCs w:val="24"/>
              </w:rPr>
              <w:t>UK, Finland, Netherlands</w:t>
            </w:r>
          </w:p>
        </w:tc>
      </w:tr>
      <w:tr w:rsidR="00842ED5" w:rsidRPr="00BE0340" w14:paraId="6D32B0E5" w14:textId="77777777" w:rsidTr="00FE3A12">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406" w:type="dxa"/>
          </w:tcPr>
          <w:p w14:paraId="32ED381F" w14:textId="6FD61BA3" w:rsidR="00842ED5" w:rsidRPr="00BE0340" w:rsidRDefault="00842ED5" w:rsidP="00842ED5">
            <w:pPr>
              <w:spacing w:after="60"/>
              <w:rPr>
                <w:rFonts w:ascii="Calibri" w:eastAsia="Cambria" w:hAnsi="Calibri" w:cs="Calibri"/>
                <w:b w:val="0"/>
                <w:sz w:val="24"/>
                <w:szCs w:val="24"/>
                <w:lang w:val="en-US"/>
              </w:rPr>
            </w:pPr>
            <w:r w:rsidRPr="00BE0340">
              <w:rPr>
                <w:rFonts w:ascii="Calibri" w:eastAsia="Cambria" w:hAnsi="Calibri" w:cs="Calibri"/>
                <w:sz w:val="24"/>
                <w:szCs w:val="24"/>
                <w:lang w:val="en-US"/>
              </w:rPr>
              <w:t>Implementation Period</w:t>
            </w:r>
          </w:p>
        </w:tc>
        <w:tc>
          <w:tcPr>
            <w:tcW w:w="7506" w:type="dxa"/>
          </w:tcPr>
          <w:p w14:paraId="518EC544" w14:textId="6C26C5A6" w:rsidR="00842ED5" w:rsidRPr="00BE0340" w:rsidRDefault="008242E8" w:rsidP="008242E8">
            <w:pPr>
              <w:spacing w:after="60"/>
              <w:cnfStyle w:val="000000100000" w:firstRow="0" w:lastRow="0" w:firstColumn="0" w:lastColumn="0" w:oddVBand="0" w:evenVBand="0" w:oddHBand="1" w:evenHBand="0" w:firstRowFirstColumn="0" w:firstRowLastColumn="0" w:lastRowFirstColumn="0" w:lastRowLastColumn="0"/>
              <w:rPr>
                <w:rFonts w:ascii="Calibri" w:eastAsia="Cambria" w:hAnsi="Calibri" w:cs="Calibri"/>
                <w:sz w:val="24"/>
                <w:szCs w:val="24"/>
                <w:lang w:val="en-US"/>
              </w:rPr>
            </w:pPr>
            <w:r w:rsidRPr="00BE0340">
              <w:rPr>
                <w:rFonts w:ascii="Calibri" w:hAnsi="Calibri" w:cs="Calibri"/>
                <w:sz w:val="24"/>
                <w:szCs w:val="24"/>
              </w:rPr>
              <w:t>2019–2026</w:t>
            </w:r>
          </w:p>
        </w:tc>
      </w:tr>
      <w:tr w:rsidR="00842ED5" w:rsidRPr="00BE0340" w14:paraId="2B185DB8" w14:textId="77777777" w:rsidTr="00FE3A12">
        <w:trPr>
          <w:trHeight w:val="117"/>
        </w:trPr>
        <w:tc>
          <w:tcPr>
            <w:cnfStyle w:val="001000000000" w:firstRow="0" w:lastRow="0" w:firstColumn="1" w:lastColumn="0" w:oddVBand="0" w:evenVBand="0" w:oddHBand="0" w:evenHBand="0" w:firstRowFirstColumn="0" w:firstRowLastColumn="0" w:lastRowFirstColumn="0" w:lastRowLastColumn="0"/>
            <w:tcW w:w="2406" w:type="dxa"/>
          </w:tcPr>
          <w:p w14:paraId="21762BEA" w14:textId="4BBFA55F" w:rsidR="00842ED5" w:rsidRPr="00BE0340" w:rsidRDefault="00842ED5" w:rsidP="00842ED5">
            <w:pPr>
              <w:spacing w:after="60"/>
              <w:rPr>
                <w:rFonts w:ascii="Calibri" w:eastAsia="Cambria" w:hAnsi="Calibri" w:cs="Calibri"/>
                <w:sz w:val="24"/>
                <w:szCs w:val="24"/>
                <w:lang w:val="en-US"/>
              </w:rPr>
            </w:pPr>
            <w:r w:rsidRPr="00BE0340">
              <w:rPr>
                <w:rFonts w:ascii="Calibri" w:eastAsia="Cambria" w:hAnsi="Calibri" w:cs="Calibri"/>
                <w:sz w:val="24"/>
                <w:szCs w:val="24"/>
                <w:lang w:val="en-US"/>
              </w:rPr>
              <w:t>Project Partners</w:t>
            </w:r>
          </w:p>
        </w:tc>
        <w:tc>
          <w:tcPr>
            <w:tcW w:w="7506" w:type="dxa"/>
          </w:tcPr>
          <w:p w14:paraId="4D7F637C" w14:textId="30DC3C91" w:rsidR="00FE3A12" w:rsidRPr="00BE0340" w:rsidRDefault="008242E8" w:rsidP="007D2534">
            <w:pPr>
              <w:jc w:val="both"/>
              <w:cnfStyle w:val="000000000000" w:firstRow="0" w:lastRow="0" w:firstColumn="0" w:lastColumn="0" w:oddVBand="0" w:evenVBand="0" w:oddHBand="0" w:evenHBand="0" w:firstRowFirstColumn="0" w:firstRowLastColumn="0" w:lastRowFirstColumn="0" w:lastRowLastColumn="0"/>
              <w:rPr>
                <w:sz w:val="24"/>
                <w:szCs w:val="24"/>
              </w:rPr>
            </w:pPr>
            <w:r w:rsidRPr="00BE0340">
              <w:rPr>
                <w:sz w:val="24"/>
                <w:szCs w:val="24"/>
              </w:rPr>
              <w:t xml:space="preserve">DRC’s Ministry of External Trade, Northern Corridor Transit and Transport Coordination Authority, Direction Generale des Douanes et </w:t>
            </w:r>
            <w:proofErr w:type="spellStart"/>
            <w:r w:rsidRPr="00BE0340">
              <w:rPr>
                <w:sz w:val="24"/>
                <w:szCs w:val="24"/>
              </w:rPr>
              <w:t>Accises</w:t>
            </w:r>
            <w:proofErr w:type="spellEnd"/>
            <w:r w:rsidRPr="00BE0340">
              <w:rPr>
                <w:sz w:val="24"/>
                <w:szCs w:val="24"/>
              </w:rPr>
              <w:t xml:space="preserve">, the DRC Customs, DRC Immigration, Office Congolais de Controle, OCC (The standard Service), </w:t>
            </w:r>
            <w:proofErr w:type="spellStart"/>
            <w:r w:rsidRPr="00BE0340">
              <w:rPr>
                <w:sz w:val="24"/>
                <w:szCs w:val="24"/>
                <w:lang w:val="en-US"/>
              </w:rPr>
              <w:t>Programe</w:t>
            </w:r>
            <w:proofErr w:type="spellEnd"/>
            <w:r w:rsidRPr="00BE0340">
              <w:rPr>
                <w:sz w:val="24"/>
                <w:szCs w:val="24"/>
                <w:lang w:val="en-US"/>
              </w:rPr>
              <w:t xml:space="preserve"> de </w:t>
            </w:r>
            <w:proofErr w:type="spellStart"/>
            <w:r w:rsidRPr="00BE0340">
              <w:rPr>
                <w:sz w:val="24"/>
                <w:szCs w:val="24"/>
                <w:lang w:val="en-US"/>
              </w:rPr>
              <w:t>l'hygiene</w:t>
            </w:r>
            <w:proofErr w:type="spellEnd"/>
            <w:r w:rsidRPr="00BE0340">
              <w:rPr>
                <w:sz w:val="24"/>
                <w:szCs w:val="24"/>
                <w:lang w:val="en-US"/>
              </w:rPr>
              <w:t xml:space="preserve"> aux Frontieres, PNHF (Health Service)</w:t>
            </w:r>
            <w:r w:rsidRPr="00BE0340">
              <w:rPr>
                <w:sz w:val="24"/>
                <w:szCs w:val="24"/>
              </w:rPr>
              <w:t xml:space="preserve">, </w:t>
            </w:r>
            <w:proofErr w:type="spellStart"/>
            <w:r w:rsidRPr="00BE0340">
              <w:rPr>
                <w:sz w:val="24"/>
                <w:szCs w:val="24"/>
              </w:rPr>
              <w:t>Ituri</w:t>
            </w:r>
            <w:proofErr w:type="spellEnd"/>
            <w:r w:rsidRPr="00BE0340">
              <w:rPr>
                <w:sz w:val="24"/>
                <w:szCs w:val="24"/>
              </w:rPr>
              <w:t xml:space="preserve"> Provincial Government</w:t>
            </w:r>
          </w:p>
        </w:tc>
      </w:tr>
      <w:tr w:rsidR="00842ED5" w:rsidRPr="00BE0340" w14:paraId="45893422" w14:textId="77777777" w:rsidTr="00FE3A12">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406" w:type="dxa"/>
          </w:tcPr>
          <w:p w14:paraId="72800BA8" w14:textId="65FB2AAA" w:rsidR="00842ED5" w:rsidRPr="00BE0340" w:rsidRDefault="00842ED5" w:rsidP="00842ED5">
            <w:pPr>
              <w:spacing w:after="60"/>
              <w:rPr>
                <w:rFonts w:ascii="Calibri" w:eastAsia="Cambria" w:hAnsi="Calibri" w:cs="Calibri"/>
                <w:sz w:val="24"/>
                <w:szCs w:val="24"/>
                <w:lang w:val="en-US"/>
              </w:rPr>
            </w:pPr>
            <w:r w:rsidRPr="00BE0340">
              <w:rPr>
                <w:rFonts w:ascii="Calibri" w:eastAsia="Cambria" w:hAnsi="Calibri" w:cs="Calibri"/>
                <w:sz w:val="24"/>
                <w:szCs w:val="24"/>
                <w:lang w:val="en-US"/>
              </w:rPr>
              <w:t xml:space="preserve">Project Participants </w:t>
            </w:r>
          </w:p>
        </w:tc>
        <w:tc>
          <w:tcPr>
            <w:tcW w:w="7506" w:type="dxa"/>
          </w:tcPr>
          <w:p w14:paraId="354C2737" w14:textId="5E624180" w:rsidR="00842ED5" w:rsidRPr="00BE0340" w:rsidRDefault="007D2534" w:rsidP="008242E8">
            <w:pPr>
              <w:spacing w:after="60"/>
              <w:jc w:val="both"/>
              <w:cnfStyle w:val="000000100000" w:firstRow="0" w:lastRow="0" w:firstColumn="0" w:lastColumn="0" w:oddVBand="0" w:evenVBand="0" w:oddHBand="1" w:evenHBand="0" w:firstRowFirstColumn="0" w:firstRowLastColumn="0" w:lastRowFirstColumn="0" w:lastRowLastColumn="0"/>
              <w:rPr>
                <w:rFonts w:ascii="Calibri" w:eastAsia="Cambria" w:hAnsi="Calibri" w:cs="Calibri"/>
                <w:sz w:val="24"/>
                <w:szCs w:val="24"/>
              </w:rPr>
            </w:pPr>
            <w:r w:rsidRPr="00BE0340">
              <w:rPr>
                <w:rFonts w:ascii="Calibri" w:eastAsia="Cambria" w:hAnsi="Calibri" w:cs="Calibri"/>
                <w:sz w:val="24"/>
                <w:szCs w:val="24"/>
              </w:rPr>
              <w:t>Cross border traders</w:t>
            </w:r>
          </w:p>
        </w:tc>
      </w:tr>
      <w:tr w:rsidR="00842ED5" w:rsidRPr="00BE0340" w14:paraId="653806F9" w14:textId="77777777" w:rsidTr="00FE3A12">
        <w:trPr>
          <w:trHeight w:val="715"/>
        </w:trPr>
        <w:tc>
          <w:tcPr>
            <w:cnfStyle w:val="001000000000" w:firstRow="0" w:lastRow="0" w:firstColumn="1" w:lastColumn="0" w:oddVBand="0" w:evenVBand="0" w:oddHBand="0" w:evenHBand="0" w:firstRowFirstColumn="0" w:firstRowLastColumn="0" w:lastRowFirstColumn="0" w:lastRowLastColumn="0"/>
            <w:tcW w:w="2406" w:type="dxa"/>
          </w:tcPr>
          <w:p w14:paraId="4CB9304F" w14:textId="7599F4A1" w:rsidR="00842ED5" w:rsidRPr="00BE0340" w:rsidRDefault="00842ED5" w:rsidP="00842ED5">
            <w:pPr>
              <w:spacing w:after="60"/>
              <w:rPr>
                <w:rFonts w:ascii="Calibri" w:eastAsia="Cambria" w:hAnsi="Calibri" w:cs="Calibri"/>
                <w:sz w:val="24"/>
                <w:szCs w:val="24"/>
                <w:lang w:val="en-US"/>
              </w:rPr>
            </w:pPr>
            <w:r w:rsidRPr="00BE0340">
              <w:rPr>
                <w:rFonts w:ascii="Calibri" w:eastAsia="Cambria" w:hAnsi="Calibri" w:cs="Calibri"/>
                <w:sz w:val="24"/>
                <w:szCs w:val="24"/>
                <w:lang w:val="en-US"/>
              </w:rPr>
              <w:t xml:space="preserve">Project Rationale </w:t>
            </w:r>
          </w:p>
        </w:tc>
        <w:tc>
          <w:tcPr>
            <w:tcW w:w="7506" w:type="dxa"/>
          </w:tcPr>
          <w:p w14:paraId="647F0F28" w14:textId="77777777" w:rsidR="00E811E8" w:rsidRPr="00E811E8" w:rsidRDefault="00E811E8" w:rsidP="00E811E8">
            <w:pPr>
              <w:pStyle w:val="NoSpacing"/>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KE"/>
              </w:rPr>
            </w:pPr>
            <w:proofErr w:type="spellStart"/>
            <w:r w:rsidRPr="00E811E8">
              <w:rPr>
                <w:rFonts w:ascii="Calibri" w:hAnsi="Calibri" w:cs="Calibri"/>
                <w:lang w:val="en-KE"/>
              </w:rPr>
              <w:t>Mahagi</w:t>
            </w:r>
            <w:proofErr w:type="spellEnd"/>
            <w:r w:rsidRPr="00E811E8">
              <w:rPr>
                <w:rFonts w:ascii="Calibri" w:hAnsi="Calibri" w:cs="Calibri"/>
                <w:lang w:val="en-KE"/>
              </w:rPr>
              <w:t xml:space="preserve"> border, which connects the DRC to Uganda at Goli on the Northern Corridor, is a strategic trade gateway between Eastern and Central Africa. Yet for years its potential has been undermined by fragmented border procedures, repeated inspections, outdated infrastructure and weak ICT connectivity. The result has been crossing delays of up to eight hours for traders and transporters.</w:t>
            </w:r>
          </w:p>
          <w:p w14:paraId="79755B40" w14:textId="77777777" w:rsidR="00E811E8" w:rsidRPr="00E811E8" w:rsidRDefault="00E811E8" w:rsidP="00E811E8">
            <w:pPr>
              <w:pStyle w:val="NoSpacing"/>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KE"/>
              </w:rPr>
            </w:pPr>
          </w:p>
          <w:p w14:paraId="777F2EEC" w14:textId="2B9EA89F" w:rsidR="00DD3677" w:rsidRPr="00E811E8" w:rsidRDefault="00E811E8" w:rsidP="00E811E8">
            <w:pPr>
              <w:pStyle w:val="NoSpacing"/>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KE"/>
              </w:rPr>
            </w:pPr>
            <w:r w:rsidRPr="00E811E8">
              <w:rPr>
                <w:rFonts w:ascii="Calibri" w:hAnsi="Calibri" w:cs="Calibri"/>
                <w:lang w:val="en-KE"/>
              </w:rPr>
              <w:t>These inefficiencies imposed direct economic costs. They have raised transport and logistics expenses, increased uncertainty in supply chains, heightened the risk of spoilage for perishable goods, and eroded profit margins. The effects have been felt most sharply by the thousands of small-scale traders who depend on the crossing every day for income and market access.</w:t>
            </w:r>
          </w:p>
        </w:tc>
      </w:tr>
      <w:tr w:rsidR="00842ED5" w:rsidRPr="00BE0340" w14:paraId="1A4284B5" w14:textId="77777777" w:rsidTr="00FE3A12">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2406" w:type="dxa"/>
          </w:tcPr>
          <w:p w14:paraId="31706662" w14:textId="781CC763" w:rsidR="00842ED5" w:rsidRPr="00BE0340" w:rsidRDefault="00842ED5" w:rsidP="00842ED5">
            <w:pPr>
              <w:spacing w:after="60"/>
              <w:rPr>
                <w:rFonts w:ascii="Calibri" w:eastAsia="Cambria" w:hAnsi="Calibri" w:cs="Calibri"/>
                <w:b w:val="0"/>
                <w:sz w:val="24"/>
                <w:szCs w:val="24"/>
                <w:lang w:val="en-US"/>
              </w:rPr>
            </w:pPr>
            <w:r w:rsidRPr="00BE0340">
              <w:rPr>
                <w:rFonts w:ascii="Calibri" w:eastAsia="Cambria" w:hAnsi="Calibri" w:cs="Calibri"/>
                <w:sz w:val="24"/>
                <w:szCs w:val="24"/>
                <w:lang w:val="en-US"/>
              </w:rPr>
              <w:t xml:space="preserve">Implementation Strategy </w:t>
            </w:r>
          </w:p>
        </w:tc>
        <w:tc>
          <w:tcPr>
            <w:tcW w:w="7506" w:type="dxa"/>
          </w:tcPr>
          <w:p w14:paraId="0E0037AC" w14:textId="409CAC29" w:rsidR="00C07279" w:rsidRPr="00C07279" w:rsidRDefault="00C07279" w:rsidP="00C07279">
            <w:pPr>
              <w:jc w:val="both"/>
              <w:cnfStyle w:val="000000100000" w:firstRow="0" w:lastRow="0" w:firstColumn="0" w:lastColumn="0" w:oddVBand="0" w:evenVBand="0" w:oddHBand="1" w:evenHBand="0" w:firstRowFirstColumn="0" w:firstRowLastColumn="0" w:lastRowFirstColumn="0" w:lastRowLastColumn="0"/>
              <w:rPr>
                <w:rFonts w:ascii="Calibri" w:hAnsi="Calibri" w:cs="Calibri"/>
                <w:kern w:val="2"/>
                <w:sz w:val="24"/>
                <w:szCs w:val="24"/>
                <w14:ligatures w14:val="standardContextual"/>
              </w:rPr>
            </w:pPr>
            <w:r w:rsidRPr="00C07279">
              <w:rPr>
                <w:rFonts w:ascii="Calibri" w:hAnsi="Calibri" w:cs="Calibri"/>
                <w:kern w:val="2"/>
                <w:sz w:val="24"/>
                <w:szCs w:val="24"/>
                <w14:ligatures w14:val="standardContextual"/>
              </w:rPr>
              <w:t xml:space="preserve">TMA’s implementation approach is deliberately integrated. It combines hard infrastructure, systems reform and trader support so that </w:t>
            </w:r>
            <w:proofErr w:type="spellStart"/>
            <w:r w:rsidRPr="00C07279">
              <w:rPr>
                <w:rFonts w:ascii="Calibri" w:hAnsi="Calibri" w:cs="Calibri"/>
                <w:kern w:val="2"/>
                <w:sz w:val="24"/>
                <w:szCs w:val="24"/>
                <w14:ligatures w14:val="standardContextual"/>
              </w:rPr>
              <w:t>Mahagi</w:t>
            </w:r>
            <w:proofErr w:type="spellEnd"/>
            <w:r w:rsidRPr="00C07279">
              <w:rPr>
                <w:rFonts w:ascii="Calibri" w:hAnsi="Calibri" w:cs="Calibri"/>
                <w:kern w:val="2"/>
                <w:sz w:val="24"/>
                <w:szCs w:val="24"/>
                <w14:ligatures w14:val="standardContextual"/>
              </w:rPr>
              <w:t xml:space="preserve"> become</w:t>
            </w:r>
            <w:r>
              <w:rPr>
                <w:rFonts w:ascii="Calibri" w:hAnsi="Calibri" w:cs="Calibri"/>
                <w:kern w:val="2"/>
                <w:sz w:val="24"/>
                <w:szCs w:val="24"/>
                <w14:ligatures w14:val="standardContextual"/>
              </w:rPr>
              <w:t xml:space="preserve">s </w:t>
            </w:r>
            <w:r w:rsidR="007E4E58">
              <w:rPr>
                <w:rFonts w:ascii="Calibri" w:hAnsi="Calibri" w:cs="Calibri"/>
                <w:kern w:val="2"/>
                <w:sz w:val="24"/>
                <w:szCs w:val="24"/>
                <w14:ligatures w14:val="standardContextual"/>
              </w:rPr>
              <w:t xml:space="preserve">a </w:t>
            </w:r>
            <w:r w:rsidRPr="00C07279">
              <w:rPr>
                <w:rFonts w:ascii="Calibri" w:hAnsi="Calibri" w:cs="Calibri"/>
                <w:kern w:val="2"/>
                <w:sz w:val="24"/>
                <w:szCs w:val="24"/>
                <w14:ligatures w14:val="standardContextual"/>
              </w:rPr>
              <w:t xml:space="preserve">more efficient </w:t>
            </w:r>
            <w:r w:rsidR="007E4E58">
              <w:rPr>
                <w:rFonts w:ascii="Calibri" w:hAnsi="Calibri" w:cs="Calibri"/>
                <w:kern w:val="2"/>
                <w:sz w:val="24"/>
                <w:szCs w:val="24"/>
                <w14:ligatures w14:val="standardContextual"/>
              </w:rPr>
              <w:t>crossing.</w:t>
            </w:r>
          </w:p>
          <w:p w14:paraId="51F3B33A" w14:textId="77777777" w:rsidR="00C07279" w:rsidRPr="00C07279" w:rsidRDefault="00C07279" w:rsidP="00C07279">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kern w:val="2"/>
                <w:sz w:val="24"/>
                <w:szCs w:val="24"/>
                <w:lang w:val="en-KE"/>
                <w14:ligatures w14:val="standardContextual"/>
              </w:rPr>
            </w:pPr>
          </w:p>
          <w:p w14:paraId="42E56312" w14:textId="27FF738A" w:rsidR="00E811E8" w:rsidRPr="00C07279" w:rsidRDefault="00E811E8" w:rsidP="00C07279">
            <w:pPr>
              <w:pStyle w:val="ListParagraph"/>
              <w:numPr>
                <w:ilvl w:val="0"/>
                <w:numId w:val="36"/>
              </w:numPr>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kern w:val="2"/>
                <w:sz w:val="24"/>
                <w:szCs w:val="24"/>
                <w:lang w:val="en-KE"/>
                <w14:ligatures w14:val="standardContextual"/>
              </w:rPr>
            </w:pPr>
            <w:r w:rsidRPr="00C07279">
              <w:rPr>
                <w:rFonts w:ascii="Calibri" w:hAnsi="Calibri" w:cs="Calibri"/>
                <w:b/>
                <w:bCs/>
                <w:kern w:val="2"/>
                <w:sz w:val="24"/>
                <w:szCs w:val="24"/>
                <w:lang w:val="en-KE"/>
                <w14:ligatures w14:val="standardContextual"/>
              </w:rPr>
              <w:t>Physical Infrastructure (</w:t>
            </w:r>
            <w:proofErr w:type="spellStart"/>
            <w:r w:rsidRPr="00C07279">
              <w:rPr>
                <w:rFonts w:ascii="Calibri" w:hAnsi="Calibri" w:cs="Calibri"/>
                <w:b/>
                <w:bCs/>
                <w:kern w:val="2"/>
                <w:sz w:val="24"/>
                <w:szCs w:val="24"/>
                <w:lang w:val="en-KE"/>
                <w14:ligatures w14:val="standardContextual"/>
              </w:rPr>
              <w:t>OSBP's</w:t>
            </w:r>
            <w:proofErr w:type="spellEnd"/>
            <w:r w:rsidRPr="00C07279">
              <w:rPr>
                <w:rFonts w:ascii="Calibri" w:hAnsi="Calibri" w:cs="Calibri"/>
                <w:b/>
                <w:bCs/>
                <w:kern w:val="2"/>
                <w:sz w:val="24"/>
                <w:szCs w:val="24"/>
                <w:lang w:val="en-KE"/>
                <w14:ligatures w14:val="standardContextual"/>
              </w:rPr>
              <w:t>) and Connectivity</w:t>
            </w:r>
            <w:r w:rsidR="00C07279" w:rsidRPr="00C07279">
              <w:rPr>
                <w:rFonts w:ascii="Calibri" w:hAnsi="Calibri" w:cs="Calibri"/>
                <w:b/>
                <w:bCs/>
                <w:kern w:val="2"/>
                <w:sz w:val="24"/>
                <w:szCs w:val="24"/>
                <w:lang w:val="en-KE"/>
                <w14:ligatures w14:val="standardContextual"/>
              </w:rPr>
              <w:t xml:space="preserve"> to create resilient facilities </w:t>
            </w:r>
            <w:r w:rsidR="00C07279" w:rsidRPr="00C07279">
              <w:rPr>
                <w:rFonts w:ascii="Calibri" w:hAnsi="Calibri" w:cs="Calibri"/>
                <w:b/>
                <w:bCs/>
                <w:kern w:val="2"/>
                <w:sz w:val="24"/>
                <w:szCs w:val="24"/>
                <w:lang w:val="en-KE"/>
                <w14:ligatures w14:val="standardContextual"/>
              </w:rPr>
              <w:t>for a functioning One Stop Border Post</w:t>
            </w:r>
          </w:p>
          <w:p w14:paraId="17B8D2F0" w14:textId="77777777" w:rsidR="00C07279" w:rsidRPr="00E811E8" w:rsidRDefault="00C07279" w:rsidP="00E811E8">
            <w:pPr>
              <w:jc w:val="both"/>
              <w:cnfStyle w:val="000000100000" w:firstRow="0" w:lastRow="0" w:firstColumn="0" w:lastColumn="0" w:oddVBand="0" w:evenVBand="0" w:oddHBand="1" w:evenHBand="0" w:firstRowFirstColumn="0" w:firstRowLastColumn="0" w:lastRowFirstColumn="0" w:lastRowLastColumn="0"/>
              <w:rPr>
                <w:lang w:val="en-KE"/>
              </w:rPr>
            </w:pPr>
          </w:p>
          <w:p w14:paraId="37C186BC" w14:textId="77777777" w:rsidR="00C07279" w:rsidRDefault="00E811E8" w:rsidP="00C07279">
            <w:pPr>
              <w:pStyle w:val="ListParagraph"/>
              <w:numPr>
                <w:ilvl w:val="0"/>
                <w:numId w:val="34"/>
              </w:numPr>
              <w:jc w:val="both"/>
              <w:cnfStyle w:val="000000100000" w:firstRow="0" w:lastRow="0" w:firstColumn="0" w:lastColumn="0" w:oddVBand="0" w:evenVBand="0" w:oddHBand="1" w:evenHBand="0" w:firstRowFirstColumn="0" w:firstRowLastColumn="0" w:lastRowFirstColumn="0" w:lastRowLastColumn="0"/>
              <w:rPr>
                <w:rFonts w:ascii="Calibri" w:hAnsi="Calibri" w:cs="Calibri"/>
                <w:kern w:val="2"/>
                <w:sz w:val="24"/>
                <w:szCs w:val="24"/>
                <w:lang w:val="en-KE"/>
                <w14:ligatures w14:val="standardContextual"/>
              </w:rPr>
            </w:pPr>
            <w:r w:rsidRPr="00C07279">
              <w:rPr>
                <w:rFonts w:ascii="Calibri" w:hAnsi="Calibri" w:cs="Calibri"/>
                <w:kern w:val="2"/>
                <w:sz w:val="24"/>
                <w:szCs w:val="24"/>
                <w:lang w:val="en-KE"/>
                <w14:ligatures w14:val="standardContextual"/>
              </w:rPr>
              <w:t>Border Facilities: Construction of modern administration blocks, specialised warehouses, and secure, paved truck parking areas.</w:t>
            </w:r>
          </w:p>
          <w:p w14:paraId="79BF16BC" w14:textId="25DB30F1" w:rsidR="00C07279" w:rsidRDefault="00E811E8" w:rsidP="00C07279">
            <w:pPr>
              <w:pStyle w:val="ListParagraph"/>
              <w:numPr>
                <w:ilvl w:val="0"/>
                <w:numId w:val="34"/>
              </w:numPr>
              <w:jc w:val="both"/>
              <w:cnfStyle w:val="000000100000" w:firstRow="0" w:lastRow="0" w:firstColumn="0" w:lastColumn="0" w:oddVBand="0" w:evenVBand="0" w:oddHBand="1" w:evenHBand="0" w:firstRowFirstColumn="0" w:firstRowLastColumn="0" w:lastRowFirstColumn="0" w:lastRowLastColumn="0"/>
              <w:rPr>
                <w:rFonts w:ascii="Calibri" w:hAnsi="Calibri" w:cs="Calibri"/>
                <w:kern w:val="2"/>
                <w:sz w:val="24"/>
                <w:szCs w:val="24"/>
                <w:lang w:val="en-KE"/>
                <w14:ligatures w14:val="standardContextual"/>
              </w:rPr>
            </w:pPr>
            <w:r w:rsidRPr="00C07279">
              <w:rPr>
                <w:rFonts w:ascii="Calibri" w:hAnsi="Calibri" w:cs="Calibri"/>
                <w:kern w:val="2"/>
                <w:sz w:val="24"/>
                <w:szCs w:val="24"/>
                <w:lang w:val="en-KE"/>
                <w14:ligatures w14:val="standardContextual"/>
              </w:rPr>
              <w:t xml:space="preserve">Engineering &amp; Durability: Installation of retaining walls to ensure site stability and the rehabilitation of the </w:t>
            </w:r>
            <w:proofErr w:type="spellStart"/>
            <w:r w:rsidRPr="00C07279">
              <w:rPr>
                <w:rFonts w:ascii="Calibri" w:hAnsi="Calibri" w:cs="Calibri"/>
                <w:kern w:val="2"/>
                <w:sz w:val="24"/>
                <w:szCs w:val="24"/>
                <w:lang w:val="en-KE"/>
                <w14:ligatures w14:val="standardContextual"/>
              </w:rPr>
              <w:t>Nyibola</w:t>
            </w:r>
            <w:proofErr w:type="spellEnd"/>
            <w:r w:rsidRPr="00C07279">
              <w:rPr>
                <w:rFonts w:ascii="Calibri" w:hAnsi="Calibri" w:cs="Calibri"/>
                <w:kern w:val="2"/>
                <w:sz w:val="24"/>
                <w:szCs w:val="24"/>
                <w:lang w:val="en-KE"/>
                <w14:ligatures w14:val="standardContextual"/>
              </w:rPr>
              <w:t xml:space="preserve"> River bridge to secure </w:t>
            </w:r>
            <w:r w:rsidR="007E4E58">
              <w:rPr>
                <w:rFonts w:ascii="Calibri" w:hAnsi="Calibri" w:cs="Calibri"/>
                <w:kern w:val="2"/>
                <w:sz w:val="24"/>
                <w:szCs w:val="24"/>
                <w:lang w:val="en-KE"/>
                <w14:ligatures w14:val="standardContextual"/>
              </w:rPr>
              <w:t xml:space="preserve">and reliable </w:t>
            </w:r>
            <w:r w:rsidRPr="00C07279">
              <w:rPr>
                <w:rFonts w:ascii="Calibri" w:hAnsi="Calibri" w:cs="Calibri"/>
                <w:kern w:val="2"/>
                <w:sz w:val="24"/>
                <w:szCs w:val="24"/>
                <w:lang w:val="en-KE"/>
                <w14:ligatures w14:val="standardContextual"/>
              </w:rPr>
              <w:t>regional connectivity.</w:t>
            </w:r>
          </w:p>
          <w:p w14:paraId="0B409A53" w14:textId="77777777" w:rsidR="00C07279" w:rsidRDefault="00E811E8" w:rsidP="00C07279">
            <w:pPr>
              <w:pStyle w:val="ListParagraph"/>
              <w:numPr>
                <w:ilvl w:val="0"/>
                <w:numId w:val="34"/>
              </w:numPr>
              <w:jc w:val="both"/>
              <w:cnfStyle w:val="000000100000" w:firstRow="0" w:lastRow="0" w:firstColumn="0" w:lastColumn="0" w:oddVBand="0" w:evenVBand="0" w:oddHBand="1" w:evenHBand="0" w:firstRowFirstColumn="0" w:firstRowLastColumn="0" w:lastRowFirstColumn="0" w:lastRowLastColumn="0"/>
              <w:rPr>
                <w:rFonts w:ascii="Calibri" w:hAnsi="Calibri" w:cs="Calibri"/>
                <w:kern w:val="2"/>
                <w:sz w:val="24"/>
                <w:szCs w:val="24"/>
                <w:lang w:val="en-KE"/>
                <w14:ligatures w14:val="standardContextual"/>
              </w:rPr>
            </w:pPr>
            <w:r w:rsidRPr="00C07279">
              <w:rPr>
                <w:rFonts w:ascii="Calibri" w:hAnsi="Calibri" w:cs="Calibri"/>
                <w:kern w:val="2"/>
                <w:sz w:val="24"/>
                <w:szCs w:val="24"/>
                <w:lang w:val="en-KE"/>
                <w14:ligatures w14:val="standardContextual"/>
              </w:rPr>
              <w:t>Essential Utilities: Deployment of comprehensive site services, including CCTV surveillance, perimeter fencing, public lighting, and industrial-grade water and sanitation facilities.</w:t>
            </w:r>
          </w:p>
          <w:p w14:paraId="06A41702" w14:textId="77777777" w:rsidR="00C07279" w:rsidRDefault="00C07279" w:rsidP="00C07279">
            <w:pPr>
              <w:pStyle w:val="ListParagraph"/>
              <w:jc w:val="both"/>
              <w:cnfStyle w:val="000000100000" w:firstRow="0" w:lastRow="0" w:firstColumn="0" w:lastColumn="0" w:oddVBand="0" w:evenVBand="0" w:oddHBand="1" w:evenHBand="0" w:firstRowFirstColumn="0" w:firstRowLastColumn="0" w:lastRowFirstColumn="0" w:lastRowLastColumn="0"/>
              <w:rPr>
                <w:rFonts w:ascii="Calibri" w:hAnsi="Calibri" w:cs="Calibri"/>
                <w:kern w:val="2"/>
                <w:sz w:val="24"/>
                <w:szCs w:val="24"/>
                <w:lang w:val="en-KE"/>
                <w14:ligatures w14:val="standardContextual"/>
              </w:rPr>
            </w:pPr>
          </w:p>
          <w:p w14:paraId="6ACC559E" w14:textId="5FCD0083" w:rsidR="00C07279" w:rsidRPr="00C07279" w:rsidRDefault="00C07279" w:rsidP="00C07279">
            <w:pPr>
              <w:pStyle w:val="ListParagraph"/>
              <w:numPr>
                <w:ilvl w:val="0"/>
                <w:numId w:val="36"/>
              </w:numPr>
              <w:jc w:val="both"/>
              <w:cnfStyle w:val="000000100000" w:firstRow="0" w:lastRow="0" w:firstColumn="0" w:lastColumn="0" w:oddVBand="0" w:evenVBand="0" w:oddHBand="1" w:evenHBand="0" w:firstRowFirstColumn="0" w:firstRowLastColumn="0" w:lastRowFirstColumn="0" w:lastRowLastColumn="0"/>
              <w:rPr>
                <w:rFonts w:ascii="Calibri" w:hAnsi="Calibri" w:cs="Calibri"/>
                <w:kern w:val="2"/>
                <w:sz w:val="24"/>
                <w:szCs w:val="24"/>
                <w:lang w:val="en-KE"/>
                <w14:ligatures w14:val="standardContextual"/>
              </w:rPr>
            </w:pPr>
            <w:r w:rsidRPr="00C07279">
              <w:rPr>
                <w:rFonts w:ascii="Calibri" w:hAnsi="Calibri" w:cs="Calibri"/>
                <w:b/>
                <w:bCs/>
                <w:kern w:val="2"/>
                <w:sz w:val="24"/>
                <w:szCs w:val="24"/>
                <w:lang w:val="en-KE"/>
                <w14:ligatures w14:val="standardContextual"/>
              </w:rPr>
              <w:t>Systems Moderni</w:t>
            </w:r>
            <w:r>
              <w:rPr>
                <w:rFonts w:ascii="Calibri" w:hAnsi="Calibri" w:cs="Calibri"/>
                <w:b/>
                <w:bCs/>
                <w:kern w:val="2"/>
                <w:sz w:val="24"/>
                <w:szCs w:val="24"/>
                <w:lang w:val="en-KE"/>
                <w14:ligatures w14:val="standardContextual"/>
              </w:rPr>
              <w:t>s</w:t>
            </w:r>
            <w:r w:rsidRPr="00C07279">
              <w:rPr>
                <w:rFonts w:ascii="Calibri" w:hAnsi="Calibri" w:cs="Calibri"/>
                <w:b/>
                <w:bCs/>
                <w:kern w:val="2"/>
                <w:sz w:val="24"/>
                <w:szCs w:val="24"/>
                <w:lang w:val="en-KE"/>
                <w14:ligatures w14:val="standardContextual"/>
              </w:rPr>
              <w:t>ation and Operational Harmoni</w:t>
            </w:r>
            <w:r>
              <w:rPr>
                <w:rFonts w:ascii="Calibri" w:hAnsi="Calibri" w:cs="Calibri"/>
                <w:b/>
                <w:bCs/>
                <w:kern w:val="2"/>
                <w:sz w:val="24"/>
                <w:szCs w:val="24"/>
                <w:lang w:val="en-KE"/>
                <w14:ligatures w14:val="standardContextual"/>
              </w:rPr>
              <w:t>s</w:t>
            </w:r>
            <w:r w:rsidRPr="00C07279">
              <w:rPr>
                <w:rFonts w:ascii="Calibri" w:hAnsi="Calibri" w:cs="Calibri"/>
                <w:b/>
                <w:bCs/>
                <w:kern w:val="2"/>
                <w:sz w:val="24"/>
                <w:szCs w:val="24"/>
                <w:lang w:val="en-KE"/>
                <w14:ligatures w14:val="standardContextual"/>
              </w:rPr>
              <w:t>ation</w:t>
            </w:r>
            <w:r>
              <w:rPr>
                <w:rFonts w:ascii="Calibri" w:hAnsi="Calibri" w:cs="Calibri"/>
                <w:b/>
                <w:bCs/>
                <w:kern w:val="2"/>
                <w:sz w:val="24"/>
                <w:szCs w:val="24"/>
                <w:lang w:val="en-KE"/>
                <w14:ligatures w14:val="standardContextual"/>
              </w:rPr>
              <w:t>:</w:t>
            </w:r>
            <w:r w:rsidRPr="00C07279">
              <w:rPr>
                <w:rFonts w:ascii="Calibri" w:hAnsi="Calibri" w:cs="Calibri"/>
                <w:kern w:val="2"/>
                <w:sz w:val="24"/>
                <w:szCs w:val="24"/>
                <w:lang w:val="en-KE"/>
                <w14:ligatures w14:val="standardContextual"/>
              </w:rPr>
              <w:t xml:space="preserve"> To eliminate administrative fragmentation, the project digiti</w:t>
            </w:r>
            <w:r>
              <w:rPr>
                <w:rFonts w:ascii="Calibri" w:hAnsi="Calibri" w:cs="Calibri"/>
                <w:kern w:val="2"/>
                <w:sz w:val="24"/>
                <w:szCs w:val="24"/>
                <w:lang w:val="en-KE"/>
                <w14:ligatures w14:val="standardContextual"/>
              </w:rPr>
              <w:t>s</w:t>
            </w:r>
            <w:r w:rsidRPr="00C07279">
              <w:rPr>
                <w:rFonts w:ascii="Calibri" w:hAnsi="Calibri" w:cs="Calibri"/>
                <w:kern w:val="2"/>
                <w:sz w:val="24"/>
                <w:szCs w:val="24"/>
                <w:lang w:val="en-KE"/>
                <w14:ligatures w14:val="standardContextual"/>
              </w:rPr>
              <w:t>es workflows and aligns bilateral protocols:</w:t>
            </w:r>
          </w:p>
          <w:p w14:paraId="3BFD77E6" w14:textId="77777777" w:rsidR="00C07279" w:rsidRPr="00C07279" w:rsidRDefault="00C07279" w:rsidP="00C07279">
            <w:pPr>
              <w:numPr>
                <w:ilvl w:val="0"/>
                <w:numId w:val="35"/>
              </w:numPr>
              <w:jc w:val="both"/>
              <w:cnfStyle w:val="000000100000" w:firstRow="0" w:lastRow="0" w:firstColumn="0" w:lastColumn="0" w:oddVBand="0" w:evenVBand="0" w:oddHBand="1" w:evenHBand="0" w:firstRowFirstColumn="0" w:firstRowLastColumn="0" w:lastRowFirstColumn="0" w:lastRowLastColumn="0"/>
              <w:rPr>
                <w:rFonts w:ascii="Calibri" w:hAnsi="Calibri" w:cs="Calibri"/>
                <w:kern w:val="2"/>
                <w:sz w:val="24"/>
                <w:szCs w:val="24"/>
                <w:lang w:val="en-KE"/>
                <w14:ligatures w14:val="standardContextual"/>
              </w:rPr>
            </w:pPr>
            <w:r w:rsidRPr="00C07279">
              <w:rPr>
                <w:rFonts w:ascii="Calibri" w:hAnsi="Calibri" w:cs="Calibri"/>
                <w:kern w:val="2"/>
                <w:sz w:val="24"/>
                <w:szCs w:val="24"/>
                <w:lang w:val="en-KE"/>
                <w14:ligatures w14:val="standardContextual"/>
              </w:rPr>
              <w:t>Digital Integration: Deployment of ICT systems to facilitate real-time data exchange between DRC and Uganda customs authorities, streamlining the clearance process.</w:t>
            </w:r>
          </w:p>
          <w:p w14:paraId="05ED82CF" w14:textId="77777777" w:rsidR="00C07279" w:rsidRPr="00C07279" w:rsidRDefault="00C07279" w:rsidP="00C07279">
            <w:pPr>
              <w:numPr>
                <w:ilvl w:val="0"/>
                <w:numId w:val="35"/>
              </w:numPr>
              <w:jc w:val="both"/>
              <w:cnfStyle w:val="000000100000" w:firstRow="0" w:lastRow="0" w:firstColumn="0" w:lastColumn="0" w:oddVBand="0" w:evenVBand="0" w:oddHBand="1" w:evenHBand="0" w:firstRowFirstColumn="0" w:firstRowLastColumn="0" w:lastRowFirstColumn="0" w:lastRowLastColumn="0"/>
              <w:rPr>
                <w:rFonts w:ascii="Calibri" w:hAnsi="Calibri" w:cs="Calibri"/>
                <w:kern w:val="2"/>
                <w:sz w:val="24"/>
                <w:szCs w:val="24"/>
                <w:lang w:val="en-KE"/>
                <w14:ligatures w14:val="standardContextual"/>
              </w:rPr>
            </w:pPr>
            <w:r w:rsidRPr="00C07279">
              <w:rPr>
                <w:rFonts w:ascii="Calibri" w:hAnsi="Calibri" w:cs="Calibri"/>
                <w:kern w:val="2"/>
                <w:sz w:val="24"/>
                <w:szCs w:val="24"/>
                <w:lang w:val="en-KE"/>
                <w14:ligatures w14:val="standardContextual"/>
              </w:rPr>
              <w:t>Unified Protocols: Development of Joint Standard Operating Procedures (SOPs) and specialized training for border staff in integrated control and performance monitoring.</w:t>
            </w:r>
          </w:p>
          <w:p w14:paraId="03BFE0EC" w14:textId="66E33D4D" w:rsidR="00C07279" w:rsidRDefault="00C07279" w:rsidP="00C07279">
            <w:pPr>
              <w:numPr>
                <w:ilvl w:val="0"/>
                <w:numId w:val="35"/>
              </w:numPr>
              <w:jc w:val="both"/>
              <w:cnfStyle w:val="000000100000" w:firstRow="0" w:lastRow="0" w:firstColumn="0" w:lastColumn="0" w:oddVBand="0" w:evenVBand="0" w:oddHBand="1" w:evenHBand="0" w:firstRowFirstColumn="0" w:firstRowLastColumn="0" w:lastRowFirstColumn="0" w:lastRowLastColumn="0"/>
              <w:rPr>
                <w:rFonts w:ascii="Calibri" w:hAnsi="Calibri" w:cs="Calibri"/>
                <w:kern w:val="2"/>
                <w:sz w:val="24"/>
                <w:szCs w:val="24"/>
                <w:lang w:val="en-KE"/>
                <w14:ligatures w14:val="standardContextual"/>
              </w:rPr>
            </w:pPr>
            <w:r w:rsidRPr="00C07279">
              <w:rPr>
                <w:rFonts w:ascii="Calibri" w:hAnsi="Calibri" w:cs="Calibri"/>
                <w:kern w:val="2"/>
                <w:sz w:val="24"/>
                <w:szCs w:val="24"/>
                <w:lang w:val="en-KE"/>
                <w14:ligatures w14:val="standardContextual"/>
              </w:rPr>
              <w:t>Process Optimi</w:t>
            </w:r>
            <w:r w:rsidRPr="007E4E58">
              <w:rPr>
                <w:rFonts w:ascii="Calibri" w:hAnsi="Calibri" w:cs="Calibri"/>
                <w:kern w:val="2"/>
                <w:sz w:val="24"/>
                <w:szCs w:val="24"/>
                <w:lang w:val="en-KE"/>
                <w14:ligatures w14:val="standardContextual"/>
              </w:rPr>
              <w:t>s</w:t>
            </w:r>
            <w:r w:rsidRPr="00C07279">
              <w:rPr>
                <w:rFonts w:ascii="Calibri" w:hAnsi="Calibri" w:cs="Calibri"/>
                <w:kern w:val="2"/>
                <w:sz w:val="24"/>
                <w:szCs w:val="24"/>
                <w:lang w:val="en-KE"/>
                <w14:ligatures w14:val="standardContextual"/>
              </w:rPr>
              <w:t xml:space="preserve">ation: Transitioning to a </w:t>
            </w:r>
            <w:r w:rsidRPr="00C07279">
              <w:rPr>
                <w:rFonts w:ascii="Calibri" w:hAnsi="Calibri" w:cs="Calibri"/>
                <w:i/>
                <w:iCs/>
                <w:kern w:val="2"/>
                <w:sz w:val="24"/>
                <w:szCs w:val="24"/>
                <w:lang w:val="en-KE"/>
                <w14:ligatures w14:val="standardContextual"/>
              </w:rPr>
              <w:t>single-stop</w:t>
            </w:r>
            <w:r w:rsidRPr="00C07279">
              <w:rPr>
                <w:rFonts w:ascii="Calibri" w:hAnsi="Calibri" w:cs="Calibri"/>
                <w:kern w:val="2"/>
                <w:sz w:val="24"/>
                <w:szCs w:val="24"/>
                <w:lang w:val="en-KE"/>
                <w14:ligatures w14:val="standardContextual"/>
              </w:rPr>
              <w:t xml:space="preserve"> logic to eliminate repeated stops and redundant inspections.</w:t>
            </w:r>
          </w:p>
          <w:p w14:paraId="1DD744E0" w14:textId="77777777" w:rsidR="00C07279" w:rsidRDefault="00C07279" w:rsidP="00C07279">
            <w:pPr>
              <w:ind w:left="720"/>
              <w:jc w:val="both"/>
              <w:cnfStyle w:val="000000100000" w:firstRow="0" w:lastRow="0" w:firstColumn="0" w:lastColumn="0" w:oddVBand="0" w:evenVBand="0" w:oddHBand="1" w:evenHBand="0" w:firstRowFirstColumn="0" w:firstRowLastColumn="0" w:lastRowFirstColumn="0" w:lastRowLastColumn="0"/>
              <w:rPr>
                <w:rFonts w:ascii="Calibri" w:hAnsi="Calibri" w:cs="Calibri"/>
                <w:kern w:val="2"/>
                <w:sz w:val="24"/>
                <w:szCs w:val="24"/>
                <w:lang w:val="en-KE"/>
                <w14:ligatures w14:val="standardContextual"/>
              </w:rPr>
            </w:pPr>
          </w:p>
          <w:p w14:paraId="1B3BC69D" w14:textId="32104519" w:rsidR="00C07279" w:rsidRPr="00C07279" w:rsidRDefault="00C07279" w:rsidP="00C07279">
            <w:pPr>
              <w:pStyle w:val="ListParagraph"/>
              <w:numPr>
                <w:ilvl w:val="0"/>
                <w:numId w:val="36"/>
              </w:numPr>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kern w:val="2"/>
                <w:sz w:val="24"/>
                <w:szCs w:val="24"/>
                <w:lang w:val="en-KE"/>
                <w14:ligatures w14:val="standardContextual"/>
              </w:rPr>
            </w:pPr>
            <w:r w:rsidRPr="00C07279">
              <w:rPr>
                <w:rFonts w:ascii="Calibri" w:hAnsi="Calibri" w:cs="Calibri"/>
                <w:b/>
                <w:bCs/>
                <w:kern w:val="2"/>
                <w:sz w:val="24"/>
                <w:szCs w:val="24"/>
                <w:lang w:val="en-KE"/>
                <w14:ligatures w14:val="standardContextual"/>
              </w:rPr>
              <w:t>Inclusive Trade and Stakeholder Support</w:t>
            </w:r>
          </w:p>
          <w:p w14:paraId="5F3F3792" w14:textId="6078C23E" w:rsidR="00C07279" w:rsidRPr="00C07279" w:rsidRDefault="00C07279" w:rsidP="00C07279">
            <w:pPr>
              <w:jc w:val="both"/>
              <w:cnfStyle w:val="000000100000" w:firstRow="0" w:lastRow="0" w:firstColumn="0" w:lastColumn="0" w:oddVBand="0" w:evenVBand="0" w:oddHBand="1" w:evenHBand="0" w:firstRowFirstColumn="0" w:firstRowLastColumn="0" w:lastRowFirstColumn="0" w:lastRowLastColumn="0"/>
              <w:rPr>
                <w:rFonts w:ascii="Calibri" w:hAnsi="Calibri" w:cs="Calibri"/>
                <w:kern w:val="2"/>
                <w:sz w:val="24"/>
                <w:szCs w:val="24"/>
                <w:lang w:val="en-KE"/>
                <w14:ligatures w14:val="standardContextual"/>
              </w:rPr>
            </w:pPr>
            <w:r w:rsidRPr="00C07279">
              <w:rPr>
                <w:rFonts w:ascii="Calibri" w:hAnsi="Calibri" w:cs="Calibri"/>
                <w:kern w:val="2"/>
                <w:sz w:val="24"/>
                <w:szCs w:val="24"/>
                <w:lang w:val="en-KE"/>
                <w14:ligatures w14:val="standardContextual"/>
              </w:rPr>
              <w:t>The strategy ensures that moderni</w:t>
            </w:r>
            <w:r>
              <w:rPr>
                <w:rFonts w:ascii="Calibri" w:hAnsi="Calibri" w:cs="Calibri"/>
                <w:kern w:val="2"/>
                <w:sz w:val="24"/>
                <w:szCs w:val="24"/>
                <w:lang w:val="en-KE"/>
                <w14:ligatures w14:val="standardContextual"/>
              </w:rPr>
              <w:t>s</w:t>
            </w:r>
            <w:r w:rsidRPr="00C07279">
              <w:rPr>
                <w:rFonts w:ascii="Calibri" w:hAnsi="Calibri" w:cs="Calibri"/>
                <w:kern w:val="2"/>
                <w:sz w:val="24"/>
                <w:szCs w:val="24"/>
                <w:lang w:val="en-KE"/>
                <w14:ligatures w14:val="standardContextual"/>
              </w:rPr>
              <w:t>ation benefits the most vulnerable economic actors through targeted social investments:</w:t>
            </w:r>
          </w:p>
          <w:p w14:paraId="36B14106" w14:textId="77777777" w:rsidR="00C07279" w:rsidRDefault="00C07279" w:rsidP="00C07279">
            <w:pPr>
              <w:pStyle w:val="ListParagraph"/>
              <w:numPr>
                <w:ilvl w:val="0"/>
                <w:numId w:val="37"/>
              </w:numPr>
              <w:jc w:val="both"/>
              <w:cnfStyle w:val="000000100000" w:firstRow="0" w:lastRow="0" w:firstColumn="0" w:lastColumn="0" w:oddVBand="0" w:evenVBand="0" w:oddHBand="1" w:evenHBand="0" w:firstRowFirstColumn="0" w:firstRowLastColumn="0" w:lastRowFirstColumn="0" w:lastRowLastColumn="0"/>
              <w:rPr>
                <w:rFonts w:ascii="Calibri" w:hAnsi="Calibri" w:cs="Calibri"/>
                <w:kern w:val="2"/>
                <w:sz w:val="24"/>
                <w:szCs w:val="24"/>
                <w:lang w:val="en-KE"/>
                <w14:ligatures w14:val="standardContextual"/>
              </w:rPr>
            </w:pPr>
            <w:r w:rsidRPr="00C07279">
              <w:rPr>
                <w:rFonts w:ascii="Calibri" w:hAnsi="Calibri" w:cs="Calibri"/>
                <w:kern w:val="2"/>
                <w:sz w:val="24"/>
                <w:szCs w:val="24"/>
                <w:lang w:val="en-KE"/>
                <w14:ligatures w14:val="standardContextual"/>
              </w:rPr>
              <w:t>Cross-Border Market: Development of a modern market facility designed to transition informal and small-scale traders into formal trade systems.</w:t>
            </w:r>
          </w:p>
          <w:p w14:paraId="62CD9059" w14:textId="77777777" w:rsidR="00C07279" w:rsidRDefault="00C07279" w:rsidP="00C07279">
            <w:pPr>
              <w:pStyle w:val="ListParagraph"/>
              <w:numPr>
                <w:ilvl w:val="0"/>
                <w:numId w:val="37"/>
              </w:numPr>
              <w:jc w:val="both"/>
              <w:cnfStyle w:val="000000100000" w:firstRow="0" w:lastRow="0" w:firstColumn="0" w:lastColumn="0" w:oddVBand="0" w:evenVBand="0" w:oddHBand="1" w:evenHBand="0" w:firstRowFirstColumn="0" w:firstRowLastColumn="0" w:lastRowFirstColumn="0" w:lastRowLastColumn="0"/>
              <w:rPr>
                <w:rFonts w:ascii="Calibri" w:hAnsi="Calibri" w:cs="Calibri"/>
                <w:kern w:val="2"/>
                <w:sz w:val="24"/>
                <w:szCs w:val="24"/>
                <w:lang w:val="en-KE"/>
                <w14:ligatures w14:val="standardContextual"/>
              </w:rPr>
            </w:pPr>
            <w:r w:rsidRPr="00C07279">
              <w:rPr>
                <w:rFonts w:ascii="Calibri" w:hAnsi="Calibri" w:cs="Calibri"/>
                <w:kern w:val="2"/>
                <w:sz w:val="24"/>
                <w:szCs w:val="24"/>
                <w:lang w:val="en-KE"/>
                <w14:ligatures w14:val="standardContextual"/>
              </w:rPr>
              <w:t>Targeted Empowerment: Implementation of capacity-building and outreach programs specifically for women traders and vulnerable groups, ensuring equitable access to the new infrastructure.</w:t>
            </w:r>
          </w:p>
          <w:p w14:paraId="5F1908FE" w14:textId="331782BE" w:rsidR="00E811E8" w:rsidRPr="00C07279" w:rsidRDefault="00C07279" w:rsidP="00C07279">
            <w:pPr>
              <w:pStyle w:val="ListParagraph"/>
              <w:numPr>
                <w:ilvl w:val="0"/>
                <w:numId w:val="37"/>
              </w:numPr>
              <w:jc w:val="both"/>
              <w:cnfStyle w:val="000000100000" w:firstRow="0" w:lastRow="0" w:firstColumn="0" w:lastColumn="0" w:oddVBand="0" w:evenVBand="0" w:oddHBand="1" w:evenHBand="0" w:firstRowFirstColumn="0" w:firstRowLastColumn="0" w:lastRowFirstColumn="0" w:lastRowLastColumn="0"/>
              <w:rPr>
                <w:rFonts w:ascii="Calibri" w:hAnsi="Calibri" w:cs="Calibri"/>
                <w:kern w:val="2"/>
                <w:sz w:val="24"/>
                <w:szCs w:val="24"/>
                <w:lang w:val="en-KE"/>
                <w14:ligatures w14:val="standardContextual"/>
              </w:rPr>
            </w:pPr>
            <w:r w:rsidRPr="00C07279">
              <w:rPr>
                <w:rFonts w:ascii="Calibri" w:hAnsi="Calibri" w:cs="Calibri"/>
                <w:kern w:val="2"/>
                <w:sz w:val="24"/>
                <w:szCs w:val="24"/>
                <w:lang w:val="en-KE"/>
                <w14:ligatures w14:val="standardContextual"/>
              </w:rPr>
              <w:t>Safety &amp; Access: Creating a secure environment that encourages the participation of small-scale entrepreneurs in regional value chains.</w:t>
            </w:r>
          </w:p>
          <w:p w14:paraId="1DF6A5C7" w14:textId="67F7FA01" w:rsidR="00E811E8" w:rsidRPr="00BE0340" w:rsidRDefault="00E811E8" w:rsidP="00772E09">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lang w:val="en-KE"/>
              </w:rPr>
            </w:pPr>
          </w:p>
        </w:tc>
      </w:tr>
      <w:tr w:rsidR="00585C6A" w:rsidRPr="00BE0340" w14:paraId="34AC4716" w14:textId="77777777" w:rsidTr="00FE3A12">
        <w:trPr>
          <w:trHeight w:val="515"/>
        </w:trPr>
        <w:tc>
          <w:tcPr>
            <w:cnfStyle w:val="001000000000" w:firstRow="0" w:lastRow="0" w:firstColumn="1" w:lastColumn="0" w:oddVBand="0" w:evenVBand="0" w:oddHBand="0" w:evenHBand="0" w:firstRowFirstColumn="0" w:firstRowLastColumn="0" w:lastRowFirstColumn="0" w:lastRowLastColumn="0"/>
            <w:tcW w:w="2406" w:type="dxa"/>
          </w:tcPr>
          <w:p w14:paraId="601CD935" w14:textId="5CA5871E" w:rsidR="00585C6A" w:rsidRPr="00BE0340" w:rsidRDefault="00585C6A" w:rsidP="00842ED5">
            <w:pPr>
              <w:spacing w:after="60"/>
              <w:rPr>
                <w:rFonts w:ascii="Calibri" w:eastAsia="Cambria" w:hAnsi="Calibri" w:cs="Calibri"/>
                <w:sz w:val="24"/>
                <w:szCs w:val="24"/>
                <w:lang w:val="en-US"/>
              </w:rPr>
            </w:pPr>
            <w:r w:rsidRPr="00BE0340">
              <w:rPr>
                <w:rFonts w:ascii="Calibri" w:eastAsia="Cambria" w:hAnsi="Calibri" w:cs="Calibri"/>
                <w:sz w:val="24"/>
                <w:szCs w:val="24"/>
                <w:lang w:val="en-US"/>
              </w:rPr>
              <w:lastRenderedPageBreak/>
              <w:t xml:space="preserve">Progress </w:t>
            </w:r>
          </w:p>
        </w:tc>
        <w:tc>
          <w:tcPr>
            <w:tcW w:w="7506" w:type="dxa"/>
          </w:tcPr>
          <w:p w14:paraId="25443AA0" w14:textId="70BC48C7" w:rsidR="00585C6A" w:rsidRPr="00BE0340" w:rsidRDefault="00585C6A" w:rsidP="00585C6A">
            <w:pPr>
              <w:pStyle w:val="NoSpacing"/>
              <w:numPr>
                <w:ilvl w:val="0"/>
                <w:numId w:val="31"/>
              </w:num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0340">
              <w:rPr>
                <w:rFonts w:ascii="Calibri" w:hAnsi="Calibri" w:cs="Calibri"/>
                <w:b/>
                <w:bCs/>
              </w:rPr>
              <w:t xml:space="preserve">Phase I </w:t>
            </w:r>
            <w:proofErr w:type="gramStart"/>
            <w:r w:rsidRPr="00BE0340">
              <w:rPr>
                <w:rFonts w:ascii="Calibri" w:hAnsi="Calibri" w:cs="Calibri"/>
                <w:b/>
                <w:bCs/>
              </w:rPr>
              <w:t xml:space="preserve">- </w:t>
            </w:r>
            <w:r w:rsidR="00772E09" w:rsidRPr="00BE0340">
              <w:rPr>
                <w:rFonts w:ascii="Calibri" w:hAnsi="Calibri" w:cs="Calibri"/>
                <w:b/>
                <w:bCs/>
              </w:rPr>
              <w:t xml:space="preserve"> </w:t>
            </w:r>
            <w:r w:rsidRPr="007E4E58">
              <w:rPr>
                <w:rFonts w:ascii="Calibri" w:hAnsi="Calibri" w:cs="Calibri"/>
              </w:rPr>
              <w:t>funded</w:t>
            </w:r>
            <w:proofErr w:type="gramEnd"/>
            <w:r w:rsidRPr="007E4E58">
              <w:rPr>
                <w:rFonts w:ascii="Calibri" w:hAnsi="Calibri" w:cs="Calibri"/>
              </w:rPr>
              <w:t xml:space="preserve"> by: Netherlands, UK International Development</w:t>
            </w:r>
            <w:r w:rsidR="00A63D2F" w:rsidRPr="007E4E58">
              <w:rPr>
                <w:rFonts w:ascii="Calibri" w:hAnsi="Calibri" w:cs="Calibri"/>
              </w:rPr>
              <w:t>-</w:t>
            </w:r>
            <w:r w:rsidR="00BE0340" w:rsidRPr="007E4E58">
              <w:rPr>
                <w:rFonts w:ascii="Calibri" w:hAnsi="Calibri" w:cs="Calibri"/>
              </w:rPr>
              <w:t xml:space="preserve"> completed November 2023</w:t>
            </w:r>
            <w:r w:rsidRPr="007E4E58">
              <w:rPr>
                <w:rFonts w:ascii="Calibri" w:hAnsi="Calibri" w:cs="Calibri"/>
              </w:rPr>
              <w:t>:</w:t>
            </w:r>
            <w:r w:rsidRPr="00BE0340">
              <w:rPr>
                <w:rFonts w:ascii="Calibri" w:hAnsi="Calibri" w:cs="Calibri"/>
              </w:rPr>
              <w:t xml:space="preserve"> Paved parking area, constructed warehouse and gatehouse, installed fencing, deployed CCTV.</w:t>
            </w:r>
          </w:p>
          <w:p w14:paraId="4589CA9D" w14:textId="4226204A" w:rsidR="00585C6A" w:rsidRPr="00BE0340" w:rsidRDefault="00585C6A" w:rsidP="00585C6A">
            <w:pPr>
              <w:pStyle w:val="NoSpacing"/>
              <w:numPr>
                <w:ilvl w:val="0"/>
                <w:numId w:val="31"/>
              </w:num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0340">
              <w:rPr>
                <w:rFonts w:ascii="Calibri" w:hAnsi="Calibri" w:cs="Calibri"/>
                <w:b/>
                <w:bCs/>
              </w:rPr>
              <w:t>Phase II</w:t>
            </w:r>
            <w:r w:rsidR="00772E09" w:rsidRPr="00BE0340">
              <w:rPr>
                <w:rFonts w:ascii="Calibri" w:hAnsi="Calibri" w:cs="Calibri"/>
                <w:b/>
                <w:bCs/>
              </w:rPr>
              <w:t xml:space="preserve"> - </w:t>
            </w:r>
            <w:r w:rsidRPr="007E4E58">
              <w:rPr>
                <w:rFonts w:ascii="Calibri" w:hAnsi="Calibri" w:cs="Calibri"/>
              </w:rPr>
              <w:t>funded by: Finland – completed in November 2024:</w:t>
            </w:r>
            <w:r w:rsidRPr="00BE0340">
              <w:rPr>
                <w:rFonts w:ascii="Calibri" w:hAnsi="Calibri" w:cs="Calibri"/>
              </w:rPr>
              <w:t xml:space="preserve"> Built administration block, drilled water facilities, constructed retaining wall, installed lighting, and improved water and sanitation systems.</w:t>
            </w:r>
          </w:p>
          <w:p w14:paraId="4DC5B48C" w14:textId="2552B324" w:rsidR="00585C6A" w:rsidRPr="00BE0340" w:rsidRDefault="00585C6A" w:rsidP="00772E09">
            <w:pPr>
              <w:pStyle w:val="NoSpacing"/>
              <w:numPr>
                <w:ilvl w:val="0"/>
                <w:numId w:val="31"/>
              </w:num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E0340">
              <w:rPr>
                <w:rFonts w:ascii="Calibri" w:hAnsi="Calibri" w:cs="Calibri"/>
                <w:b/>
                <w:bCs/>
              </w:rPr>
              <w:t>Phase III</w:t>
            </w:r>
            <w:r w:rsidR="00772E09" w:rsidRPr="00BE0340">
              <w:rPr>
                <w:rFonts w:ascii="Calibri" w:hAnsi="Calibri" w:cs="Calibri"/>
                <w:b/>
                <w:bCs/>
              </w:rPr>
              <w:t xml:space="preserve"> - </w:t>
            </w:r>
            <w:r w:rsidR="00772E09" w:rsidRPr="007E4E58">
              <w:rPr>
                <w:rFonts w:ascii="Calibri" w:hAnsi="Calibri" w:cs="Calibri"/>
              </w:rPr>
              <w:t xml:space="preserve">funded by: </w:t>
            </w:r>
            <w:r w:rsidRPr="007E4E58">
              <w:rPr>
                <w:rFonts w:ascii="Calibri" w:hAnsi="Calibri" w:cs="Calibri"/>
              </w:rPr>
              <w:t>UK International Development, ongoing</w:t>
            </w:r>
            <w:r w:rsidR="00772E09" w:rsidRPr="007E4E58">
              <w:rPr>
                <w:rFonts w:ascii="Calibri" w:hAnsi="Calibri" w:cs="Calibri"/>
              </w:rPr>
              <w:t xml:space="preserve"> and target completion 2026</w:t>
            </w:r>
            <w:r w:rsidRPr="007E4E58">
              <w:rPr>
                <w:rFonts w:ascii="Calibri" w:hAnsi="Calibri" w:cs="Calibri"/>
              </w:rPr>
              <w:t>):</w:t>
            </w:r>
            <w:r w:rsidRPr="00BE0340">
              <w:rPr>
                <w:rFonts w:ascii="Calibri" w:hAnsi="Calibri" w:cs="Calibri"/>
              </w:rPr>
              <w:t xml:space="preserve"> Upgrading access roads, rehabilitating the </w:t>
            </w:r>
            <w:proofErr w:type="spellStart"/>
            <w:r w:rsidRPr="00BE0340">
              <w:rPr>
                <w:rFonts w:ascii="Calibri" w:hAnsi="Calibri" w:cs="Calibri"/>
              </w:rPr>
              <w:t>Nyibola</w:t>
            </w:r>
            <w:proofErr w:type="spellEnd"/>
            <w:r w:rsidRPr="00BE0340">
              <w:rPr>
                <w:rFonts w:ascii="Calibri" w:hAnsi="Calibri" w:cs="Calibri"/>
              </w:rPr>
              <w:t xml:space="preserve"> River bridge, constructing cross-border market and staff housing, rolling out digital customs systems.</w:t>
            </w:r>
          </w:p>
        </w:tc>
      </w:tr>
      <w:tr w:rsidR="00842ED5" w:rsidRPr="00BE0340" w14:paraId="4C14BB29" w14:textId="77777777" w:rsidTr="00FE3A12">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406" w:type="dxa"/>
          </w:tcPr>
          <w:p w14:paraId="04E9DD30" w14:textId="4F548B5B" w:rsidR="00842ED5" w:rsidRPr="00BE0340" w:rsidRDefault="00585C6A" w:rsidP="00842ED5">
            <w:pPr>
              <w:spacing w:after="60"/>
              <w:rPr>
                <w:rFonts w:ascii="Calibri" w:eastAsia="Cambria" w:hAnsi="Calibri" w:cs="Calibri"/>
                <w:b w:val="0"/>
                <w:sz w:val="24"/>
                <w:szCs w:val="24"/>
                <w:lang w:val="en-US"/>
              </w:rPr>
            </w:pPr>
            <w:r w:rsidRPr="00BE0340">
              <w:rPr>
                <w:rFonts w:ascii="Calibri" w:eastAsia="Cambria" w:hAnsi="Calibri" w:cs="Calibri"/>
                <w:sz w:val="24"/>
                <w:szCs w:val="24"/>
                <w:lang w:val="en-US"/>
              </w:rPr>
              <w:t xml:space="preserve">Emerging Results </w:t>
            </w:r>
            <w:proofErr w:type="spellStart"/>
            <w:r w:rsidR="00085774" w:rsidRPr="00BE0340">
              <w:rPr>
                <w:rFonts w:ascii="Calibri" w:eastAsia="Cambria" w:hAnsi="Calibri" w:cs="Calibri"/>
                <w:sz w:val="24"/>
                <w:szCs w:val="24"/>
                <w:lang w:val="en-US"/>
              </w:rPr>
              <w:t>Results</w:t>
            </w:r>
            <w:proofErr w:type="spellEnd"/>
            <w:r w:rsidR="00842ED5" w:rsidRPr="00BE0340">
              <w:rPr>
                <w:rFonts w:ascii="Calibri" w:eastAsia="Cambria" w:hAnsi="Calibri" w:cs="Calibri"/>
                <w:sz w:val="24"/>
                <w:szCs w:val="24"/>
                <w:lang w:val="en-US"/>
              </w:rPr>
              <w:t xml:space="preserve"> </w:t>
            </w:r>
          </w:p>
        </w:tc>
        <w:bookmarkStart w:id="0" w:name="RANGE!B7"/>
        <w:tc>
          <w:tcPr>
            <w:tcW w:w="7506" w:type="dxa"/>
          </w:tcPr>
          <w:p w14:paraId="28B1B950" w14:textId="5E27ED79" w:rsidR="00BE0340" w:rsidRPr="00BE0340" w:rsidRDefault="00BE0340" w:rsidP="00BE0340">
            <w:pPr>
              <w:pStyle w:val="NoSpacing"/>
              <w:numPr>
                <w:ilvl w:val="0"/>
                <w:numId w:val="31"/>
              </w:numPr>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7B39F9">
              <w:rPr>
                <w:rFonts w:eastAsia="Symbol"/>
                <w:color w:val="000000"/>
                <w:lang w:eastAsia="en-KE"/>
              </w:rPr>
              <w:fldChar w:fldCharType="begin"/>
            </w:r>
            <w:r w:rsidRPr="007B39F9">
              <w:rPr>
                <w:rFonts w:eastAsia="Symbol"/>
                <w:color w:val="000000"/>
                <w:lang w:eastAsia="en-KE"/>
              </w:rPr>
              <w:instrText>HYPERLINK "" \l "RANGE!B60"</w:instrText>
            </w:r>
            <w:r w:rsidRPr="007B39F9">
              <w:rPr>
                <w:rFonts w:eastAsia="Symbol"/>
                <w:color w:val="000000"/>
                <w:lang w:eastAsia="en-KE"/>
              </w:rPr>
            </w:r>
            <w:r w:rsidRPr="007B39F9">
              <w:rPr>
                <w:rFonts w:eastAsia="Symbol"/>
                <w:color w:val="000000"/>
                <w:lang w:eastAsia="en-KE"/>
              </w:rPr>
              <w:fldChar w:fldCharType="separate"/>
            </w:r>
            <w:r>
              <w:rPr>
                <w:rFonts w:eastAsia="Symbol"/>
                <w:color w:val="000000"/>
                <w:lang w:eastAsia="en-KE"/>
              </w:rPr>
              <w:t>T</w:t>
            </w:r>
            <w:r w:rsidRPr="007B39F9">
              <w:rPr>
                <w:rFonts w:eastAsia="Symbol"/>
                <w:color w:val="000000"/>
                <w:lang w:eastAsia="en-KE"/>
              </w:rPr>
              <w:t xml:space="preserve">ime taken from queuing to clearance in Goli </w:t>
            </w:r>
            <w:r>
              <w:rPr>
                <w:rFonts w:eastAsia="Symbol"/>
                <w:color w:val="000000"/>
                <w:lang w:eastAsia="en-KE"/>
              </w:rPr>
              <w:t xml:space="preserve">reduce by over half, </w:t>
            </w:r>
            <w:r w:rsidRPr="007B39F9">
              <w:rPr>
                <w:rFonts w:eastAsia="Symbol"/>
                <w:color w:val="000000"/>
                <w:lang w:eastAsia="en-KE"/>
              </w:rPr>
              <w:t xml:space="preserve">from over 17 hours in 2019 to under </w:t>
            </w:r>
            <w:r w:rsidR="00D13CC9">
              <w:rPr>
                <w:rFonts w:eastAsia="Symbol"/>
                <w:color w:val="000000"/>
                <w:lang w:eastAsia="en-KE"/>
              </w:rPr>
              <w:t xml:space="preserve">eight </w:t>
            </w:r>
            <w:r w:rsidRPr="007B39F9">
              <w:rPr>
                <w:rFonts w:eastAsia="Symbol"/>
                <w:color w:val="000000"/>
                <w:lang w:eastAsia="en-KE"/>
              </w:rPr>
              <w:t>in 2024</w:t>
            </w:r>
            <w:r w:rsidRPr="007B39F9">
              <w:rPr>
                <w:rFonts w:eastAsia="Symbol"/>
                <w:color w:val="000000"/>
                <w:lang w:eastAsia="en-KE"/>
              </w:rPr>
              <w:fldChar w:fldCharType="end"/>
            </w:r>
            <w:bookmarkEnd w:id="0"/>
            <w:r>
              <w:rPr>
                <w:rFonts w:eastAsia="Symbol"/>
                <w:b/>
                <w:bCs/>
                <w:color w:val="000000"/>
                <w:lang w:eastAsia="en-KE"/>
              </w:rPr>
              <w:t xml:space="preserve">. </w:t>
            </w:r>
          </w:p>
          <w:p w14:paraId="689C074E" w14:textId="08E1E353" w:rsidR="00742123" w:rsidRPr="00D13CC9" w:rsidRDefault="00742123" w:rsidP="001B62FC">
            <w:pPr>
              <w:pStyle w:val="NoSpacing"/>
              <w:numPr>
                <w:ilvl w:val="0"/>
                <w:numId w:val="31"/>
              </w:num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E0340">
              <w:rPr>
                <w:rFonts w:eastAsia="Symbol"/>
                <w:color w:val="000000"/>
                <w:lang w:eastAsia="en-KE"/>
              </w:rPr>
              <w:t>63% re</w:t>
            </w:r>
            <w:r w:rsidR="00BE0340">
              <w:rPr>
                <w:rFonts w:eastAsia="Symbol"/>
                <w:color w:val="000000"/>
                <w:lang w:eastAsia="en-KE"/>
              </w:rPr>
              <w:t>du</w:t>
            </w:r>
            <w:r w:rsidRPr="00BE0340">
              <w:rPr>
                <w:rFonts w:eastAsia="Symbol"/>
                <w:color w:val="000000"/>
                <w:lang w:eastAsia="en-KE"/>
              </w:rPr>
              <w:t xml:space="preserve">ction in customs processing time at Goli-Mahagi OSBP from </w:t>
            </w:r>
            <w:r w:rsidR="00B1210F" w:rsidRPr="00BE0340">
              <w:rPr>
                <w:rFonts w:eastAsia="Symbol"/>
                <w:color w:val="000000"/>
                <w:lang w:eastAsia="en-KE"/>
              </w:rPr>
              <w:t>eight</w:t>
            </w:r>
            <w:r w:rsidRPr="00BE0340">
              <w:rPr>
                <w:rFonts w:eastAsia="Symbol"/>
                <w:color w:val="000000"/>
                <w:lang w:eastAsia="en-KE"/>
              </w:rPr>
              <w:t xml:space="preserve"> hours in 2019 to </w:t>
            </w:r>
            <w:r w:rsidR="00D13CC9">
              <w:rPr>
                <w:rFonts w:eastAsia="Symbol"/>
                <w:color w:val="000000"/>
                <w:lang w:eastAsia="en-KE"/>
              </w:rPr>
              <w:t xml:space="preserve">three </w:t>
            </w:r>
            <w:r w:rsidRPr="00BE0340">
              <w:rPr>
                <w:rFonts w:eastAsia="Symbol"/>
                <w:color w:val="000000"/>
                <w:lang w:eastAsia="en-KE"/>
              </w:rPr>
              <w:t>in 2024</w:t>
            </w:r>
          </w:p>
          <w:p w14:paraId="44A98591" w14:textId="77777777" w:rsidR="00D13CC9" w:rsidRDefault="00D13CC9" w:rsidP="00D13CC9">
            <w:pPr>
              <w:pStyle w:val="NoSpacing"/>
              <w:jc w:val="both"/>
              <w:cnfStyle w:val="000000100000" w:firstRow="0" w:lastRow="0" w:firstColumn="0" w:lastColumn="0" w:oddVBand="0" w:evenVBand="0" w:oddHBand="1" w:evenHBand="0" w:firstRowFirstColumn="0" w:firstRowLastColumn="0" w:lastRowFirstColumn="0" w:lastRowLastColumn="0"/>
              <w:rPr>
                <w:rFonts w:eastAsia="Symbol"/>
                <w:color w:val="000000"/>
                <w:lang w:eastAsia="en-KE"/>
              </w:rPr>
            </w:pPr>
          </w:p>
          <w:p w14:paraId="63EFEAC1" w14:textId="77777777" w:rsidR="00D13CC9" w:rsidRPr="00BE0340" w:rsidRDefault="00D13CC9" w:rsidP="00D13CC9">
            <w:pPr>
              <w:pStyle w:val="NoSpacing"/>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bookmarkStart w:id="1" w:name="RANGE!B24"/>
          <w:p w14:paraId="280DB398" w14:textId="725DF6BE" w:rsidR="00D13CC9" w:rsidRPr="00D13CC9" w:rsidRDefault="001B62FC" w:rsidP="00D13CC9">
            <w:pPr>
              <w:pStyle w:val="NoSpacing"/>
              <w:numPr>
                <w:ilvl w:val="0"/>
                <w:numId w:val="31"/>
              </w:num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E0340">
              <w:rPr>
                <w:rFonts w:eastAsia="Symbol"/>
                <w:color w:val="000000"/>
                <w:lang w:eastAsia="en-KE"/>
              </w:rPr>
              <w:lastRenderedPageBreak/>
              <w:fldChar w:fldCharType="begin"/>
            </w:r>
            <w:r w:rsidRPr="00BE0340">
              <w:rPr>
                <w:rFonts w:eastAsia="Symbol"/>
                <w:color w:val="000000"/>
                <w:lang w:eastAsia="en-KE"/>
              </w:rPr>
              <w:instrText>HYPERLINK "" \l "RANGE!B73"</w:instrText>
            </w:r>
            <w:r w:rsidRPr="00BE0340">
              <w:rPr>
                <w:rFonts w:eastAsia="Symbol"/>
                <w:color w:val="000000"/>
                <w:lang w:eastAsia="en-KE"/>
              </w:rPr>
            </w:r>
            <w:r w:rsidRPr="00BE0340">
              <w:rPr>
                <w:rFonts w:eastAsia="Symbol"/>
                <w:color w:val="000000"/>
                <w:lang w:eastAsia="en-KE"/>
              </w:rPr>
              <w:fldChar w:fldCharType="separate"/>
            </w:r>
            <w:r w:rsidRPr="00BE0340">
              <w:rPr>
                <w:rFonts w:eastAsia="Symbol"/>
                <w:color w:val="000000"/>
                <w:lang w:eastAsia="en-KE"/>
              </w:rPr>
              <w:t>The Goli-</w:t>
            </w:r>
            <w:proofErr w:type="spellStart"/>
            <w:r w:rsidRPr="00BE0340">
              <w:rPr>
                <w:rFonts w:eastAsia="Symbol"/>
                <w:color w:val="000000"/>
                <w:lang w:eastAsia="en-KE"/>
              </w:rPr>
              <w:t>Mahagi</w:t>
            </w:r>
            <w:proofErr w:type="spellEnd"/>
            <w:r w:rsidRPr="00BE0340">
              <w:rPr>
                <w:rFonts w:eastAsia="Symbol"/>
                <w:color w:val="000000"/>
                <w:lang w:eastAsia="en-KE"/>
              </w:rPr>
              <w:t xml:space="preserve"> </w:t>
            </w:r>
            <w:r w:rsidR="00BE0340" w:rsidRPr="00BE0340">
              <w:rPr>
                <w:rFonts w:eastAsia="Symbol"/>
                <w:color w:val="000000"/>
                <w:lang w:eastAsia="en-KE"/>
              </w:rPr>
              <w:t>OSBP recorded</w:t>
            </w:r>
            <w:r w:rsidRPr="00BE0340">
              <w:rPr>
                <w:rFonts w:eastAsia="Symbol"/>
                <w:color w:val="000000"/>
                <w:lang w:eastAsia="en-KE"/>
              </w:rPr>
              <w:t xml:space="preserve"> more than a 100% rise in total trade volumes, from </w:t>
            </w:r>
            <w:r w:rsidR="00D13CC9">
              <w:rPr>
                <w:rFonts w:eastAsia="Symbol"/>
                <w:color w:val="000000"/>
                <w:lang w:eastAsia="en-KE"/>
              </w:rPr>
              <w:t xml:space="preserve">nearly </w:t>
            </w:r>
            <w:r w:rsidRPr="00BE0340">
              <w:rPr>
                <w:rFonts w:eastAsia="Symbol"/>
                <w:color w:val="000000"/>
                <w:lang w:eastAsia="en-KE"/>
              </w:rPr>
              <w:t>$</w:t>
            </w:r>
            <w:r w:rsidR="00D13CC9">
              <w:rPr>
                <w:rFonts w:eastAsia="Symbol"/>
                <w:color w:val="000000"/>
                <w:lang w:eastAsia="en-KE"/>
              </w:rPr>
              <w:t>18</w:t>
            </w:r>
            <w:r w:rsidRPr="00BE0340">
              <w:rPr>
                <w:rFonts w:eastAsia="Symbol"/>
                <w:color w:val="000000"/>
                <w:lang w:eastAsia="en-KE"/>
              </w:rPr>
              <w:t xml:space="preserve"> million in 2019 to </w:t>
            </w:r>
            <w:r w:rsidR="00D13CC9">
              <w:rPr>
                <w:rFonts w:eastAsia="Symbol"/>
                <w:color w:val="000000"/>
                <w:lang w:eastAsia="en-KE"/>
              </w:rPr>
              <w:t xml:space="preserve">about </w:t>
            </w:r>
            <w:r w:rsidRPr="00BE0340">
              <w:rPr>
                <w:rFonts w:eastAsia="Symbol"/>
                <w:color w:val="000000"/>
                <w:lang w:eastAsia="en-KE"/>
              </w:rPr>
              <w:t>$4</w:t>
            </w:r>
            <w:r w:rsidR="00D13CC9">
              <w:rPr>
                <w:rFonts w:eastAsia="Symbol"/>
                <w:color w:val="000000"/>
                <w:lang w:eastAsia="en-KE"/>
              </w:rPr>
              <w:t xml:space="preserve">1 </w:t>
            </w:r>
            <w:r w:rsidRPr="00BE0340">
              <w:rPr>
                <w:rFonts w:eastAsia="Symbol"/>
                <w:color w:val="000000"/>
                <w:lang w:eastAsia="en-KE"/>
              </w:rPr>
              <w:t>million in 2022, driven by the introduction of trade facilitation measures like the Integrated Border Management (IBM) system.</w:t>
            </w:r>
            <w:r w:rsidRPr="00BE0340">
              <w:rPr>
                <w:rFonts w:eastAsia="Symbol"/>
                <w:color w:val="000000"/>
                <w:lang w:eastAsia="en-KE"/>
              </w:rPr>
              <w:fldChar w:fldCharType="end"/>
            </w:r>
            <w:bookmarkEnd w:id="1"/>
          </w:p>
          <w:p w14:paraId="1AD72E37" w14:textId="19CFD5CE" w:rsidR="001B62FC" w:rsidRPr="00D13CC9" w:rsidRDefault="00D13CC9" w:rsidP="00D13CC9">
            <w:pPr>
              <w:jc w:val="both"/>
              <w:cnfStyle w:val="000000100000" w:firstRow="0" w:lastRow="0" w:firstColumn="0" w:lastColumn="0" w:oddVBand="0" w:evenVBand="0" w:oddHBand="1" w:evenHBand="0" w:firstRowFirstColumn="0" w:firstRowLastColumn="0" w:lastRowFirstColumn="0" w:lastRowLastColumn="0"/>
              <w:rPr>
                <w:lang w:val="en-KE"/>
              </w:rPr>
            </w:pPr>
            <w:r w:rsidRPr="00D13CC9">
              <w:rPr>
                <w:b/>
                <w:bCs/>
              </w:rPr>
              <w:t>Source of data</w:t>
            </w:r>
            <w:r>
              <w:t xml:space="preserve">: </w:t>
            </w:r>
            <w:hyperlink r:id="rId11" w:history="1">
              <w:r w:rsidRPr="00DB75E3">
                <w:rPr>
                  <w:rStyle w:val="Hyperlink"/>
                  <w:lang w:val="en-KE"/>
                </w:rPr>
                <w:t>Physical Infra S2 Evaluation Final Report 16 04 25.pdf</w:t>
              </w:r>
            </w:hyperlink>
          </w:p>
        </w:tc>
      </w:tr>
      <w:tr w:rsidR="00772E09" w:rsidRPr="00BE0340" w14:paraId="4B7BE9A5" w14:textId="77777777" w:rsidTr="00FE3A12">
        <w:trPr>
          <w:trHeight w:val="515"/>
        </w:trPr>
        <w:tc>
          <w:tcPr>
            <w:cnfStyle w:val="001000000000" w:firstRow="0" w:lastRow="0" w:firstColumn="1" w:lastColumn="0" w:oddVBand="0" w:evenVBand="0" w:oddHBand="0" w:evenHBand="0" w:firstRowFirstColumn="0" w:firstRowLastColumn="0" w:lastRowFirstColumn="0" w:lastRowLastColumn="0"/>
            <w:tcW w:w="2406" w:type="dxa"/>
          </w:tcPr>
          <w:p w14:paraId="445B2A49" w14:textId="734E3157" w:rsidR="00772E09" w:rsidRPr="00BE0340" w:rsidRDefault="00772E09" w:rsidP="00842ED5">
            <w:pPr>
              <w:spacing w:after="60"/>
              <w:rPr>
                <w:rFonts w:ascii="Calibri" w:eastAsia="Cambria" w:hAnsi="Calibri" w:cs="Calibri"/>
                <w:sz w:val="24"/>
                <w:szCs w:val="24"/>
                <w:lang w:val="en-US"/>
              </w:rPr>
            </w:pPr>
            <w:r w:rsidRPr="00BE0340">
              <w:rPr>
                <w:rFonts w:ascii="Calibri" w:eastAsia="Cambria" w:hAnsi="Calibri" w:cs="Calibri"/>
                <w:sz w:val="24"/>
                <w:szCs w:val="24"/>
                <w:lang w:val="en-US"/>
              </w:rPr>
              <w:lastRenderedPageBreak/>
              <w:t xml:space="preserve">Photo – Phase II of Mahagi – </w:t>
            </w:r>
            <w:r w:rsidRPr="007E4E58">
              <w:rPr>
                <w:rFonts w:ascii="Calibri" w:eastAsia="Cambria" w:hAnsi="Calibri" w:cs="Calibri"/>
                <w:b w:val="0"/>
                <w:bCs w:val="0"/>
                <w:sz w:val="24"/>
                <w:szCs w:val="24"/>
                <w:lang w:val="en-US"/>
              </w:rPr>
              <w:t>see cream administration block at the background and paved parking front and middle.</w:t>
            </w:r>
            <w:r w:rsidRPr="00BE0340">
              <w:rPr>
                <w:rFonts w:ascii="Calibri" w:eastAsia="Cambria" w:hAnsi="Calibri" w:cs="Calibri"/>
                <w:sz w:val="24"/>
                <w:szCs w:val="24"/>
                <w:lang w:val="en-US"/>
              </w:rPr>
              <w:t xml:space="preserve"> </w:t>
            </w:r>
          </w:p>
        </w:tc>
        <w:tc>
          <w:tcPr>
            <w:tcW w:w="7506" w:type="dxa"/>
          </w:tcPr>
          <w:p w14:paraId="78721426" w14:textId="79FCB247" w:rsidR="00772E09" w:rsidRPr="00BE0340" w:rsidRDefault="00772E09" w:rsidP="00772E09">
            <w:pPr>
              <w:pStyle w:val="NoSpacing"/>
              <w:jc w:val="both"/>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val="en-KE" w:eastAsia="en-KE"/>
              </w:rPr>
            </w:pPr>
            <w:r w:rsidRPr="00BE0340">
              <w:rPr>
                <w:noProof/>
              </w:rPr>
              <w:drawing>
                <wp:anchor distT="0" distB="0" distL="114300" distR="114300" simplePos="0" relativeHeight="251658240" behindDoc="0" locked="0" layoutInCell="1" allowOverlap="1" wp14:anchorId="3FCDBC1D" wp14:editId="3844B294">
                  <wp:simplePos x="0" y="0"/>
                  <wp:positionH relativeFrom="column">
                    <wp:posOffset>172085</wp:posOffset>
                  </wp:positionH>
                  <wp:positionV relativeFrom="paragraph">
                    <wp:posOffset>0</wp:posOffset>
                  </wp:positionV>
                  <wp:extent cx="3619500" cy="1934210"/>
                  <wp:effectExtent l="0" t="0" r="0" b="8890"/>
                  <wp:wrapSquare wrapText="bothSides"/>
                  <wp:docPr id="1923220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8763"/>
                          <a:stretch>
                            <a:fillRect/>
                          </a:stretch>
                        </pic:blipFill>
                        <pic:spPr bwMode="auto">
                          <a:xfrm>
                            <a:off x="0" y="0"/>
                            <a:ext cx="3619500" cy="1934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42ED5" w:rsidRPr="00BE0340" w14:paraId="5A3D4E36" w14:textId="77777777" w:rsidTr="00FE3A12">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406" w:type="dxa"/>
          </w:tcPr>
          <w:p w14:paraId="525D032A" w14:textId="77777777" w:rsidR="00842ED5" w:rsidRPr="00BE0340" w:rsidRDefault="00842ED5" w:rsidP="00842ED5">
            <w:pPr>
              <w:spacing w:after="60"/>
              <w:rPr>
                <w:rFonts w:ascii="Calibri" w:eastAsia="Cambria" w:hAnsi="Calibri" w:cs="Calibri"/>
                <w:b w:val="0"/>
                <w:sz w:val="24"/>
                <w:szCs w:val="24"/>
                <w:lang w:val="en-US"/>
              </w:rPr>
            </w:pPr>
            <w:r w:rsidRPr="00BE0340">
              <w:rPr>
                <w:rFonts w:ascii="Calibri" w:eastAsia="Cambria" w:hAnsi="Calibri" w:cs="Calibri"/>
                <w:sz w:val="24"/>
                <w:szCs w:val="24"/>
                <w:lang w:val="en-US"/>
              </w:rPr>
              <w:t>Contact</w:t>
            </w:r>
          </w:p>
        </w:tc>
        <w:tc>
          <w:tcPr>
            <w:tcW w:w="7506" w:type="dxa"/>
          </w:tcPr>
          <w:p w14:paraId="75C068F3" w14:textId="06B340F7" w:rsidR="00842ED5" w:rsidRPr="00BE0340" w:rsidRDefault="008242E8" w:rsidP="008242E8">
            <w:pPr>
              <w:spacing w:after="60"/>
              <w:cnfStyle w:val="000000100000" w:firstRow="0" w:lastRow="0" w:firstColumn="0" w:lastColumn="0" w:oddVBand="0" w:evenVBand="0" w:oddHBand="1" w:evenHBand="0" w:firstRowFirstColumn="0" w:firstRowLastColumn="0" w:lastRowFirstColumn="0" w:lastRowLastColumn="0"/>
              <w:rPr>
                <w:rFonts w:ascii="Calibri" w:hAnsi="Calibri" w:cs="Calibri"/>
                <w:kern w:val="2"/>
                <w:sz w:val="24"/>
                <w:szCs w:val="24"/>
                <w14:ligatures w14:val="standardContextual"/>
              </w:rPr>
            </w:pPr>
            <w:r w:rsidRPr="00BE0340">
              <w:rPr>
                <w:rFonts w:ascii="Calibri" w:hAnsi="Calibri" w:cs="Calibri"/>
                <w:kern w:val="2"/>
                <w:sz w:val="24"/>
                <w:szCs w:val="24"/>
                <w14:ligatures w14:val="standardContextual"/>
              </w:rPr>
              <w:t>Aimé Nzoyihera</w:t>
            </w:r>
            <w:r w:rsidR="00842ED5" w:rsidRPr="00BE0340">
              <w:rPr>
                <w:rFonts w:ascii="Calibri" w:hAnsi="Calibri" w:cs="Calibri"/>
                <w:kern w:val="2"/>
                <w:sz w:val="24"/>
                <w:szCs w:val="24"/>
                <w14:ligatures w14:val="standardContextual"/>
              </w:rPr>
              <w:t>– County Director, D</w:t>
            </w:r>
            <w:r w:rsidRPr="00BE0340">
              <w:rPr>
                <w:rFonts w:ascii="Calibri" w:hAnsi="Calibri" w:cs="Calibri"/>
                <w:kern w:val="2"/>
                <w:sz w:val="24"/>
                <w:szCs w:val="24"/>
                <w14:ligatures w14:val="standardContextual"/>
              </w:rPr>
              <w:t>RC</w:t>
            </w:r>
          </w:p>
          <w:p w14:paraId="554F31FB" w14:textId="47E6521A" w:rsidR="00842ED5" w:rsidRPr="00BE0340" w:rsidRDefault="00842ED5" w:rsidP="00842ED5">
            <w:pPr>
              <w:spacing w:after="60"/>
              <w:cnfStyle w:val="000000100000" w:firstRow="0" w:lastRow="0" w:firstColumn="0" w:lastColumn="0" w:oddVBand="0" w:evenVBand="0" w:oddHBand="1" w:evenHBand="0" w:firstRowFirstColumn="0" w:firstRowLastColumn="0" w:lastRowFirstColumn="0" w:lastRowLastColumn="0"/>
              <w:rPr>
                <w:rFonts w:ascii="Calibri" w:eastAsia="Cambria" w:hAnsi="Calibri" w:cs="Calibri"/>
                <w:sz w:val="24"/>
                <w:szCs w:val="24"/>
              </w:rPr>
            </w:pPr>
            <w:r w:rsidRPr="00BE0340">
              <w:rPr>
                <w:rFonts w:ascii="Calibri" w:hAnsi="Calibri" w:cs="Calibri"/>
                <w:sz w:val="24"/>
                <w:szCs w:val="24"/>
              </w:rPr>
              <w:t xml:space="preserve"> </w:t>
            </w:r>
            <w:proofErr w:type="gramStart"/>
            <w:r w:rsidR="00D7204C" w:rsidRPr="00BE0340">
              <w:rPr>
                <w:rFonts w:ascii="Calibri" w:hAnsi="Calibri" w:cs="Calibri"/>
                <w:sz w:val="24"/>
                <w:szCs w:val="24"/>
              </w:rPr>
              <w:t>Email :</w:t>
            </w:r>
            <w:proofErr w:type="gramEnd"/>
            <w:r w:rsidRPr="00BE0340">
              <w:rPr>
                <w:rFonts w:ascii="Calibri" w:hAnsi="Calibri" w:cs="Calibri"/>
                <w:sz w:val="24"/>
                <w:szCs w:val="24"/>
              </w:rPr>
              <w:t xml:space="preserve"> </w:t>
            </w:r>
            <w:hyperlink r:id="rId13" w:history="1">
              <w:r w:rsidR="008242E8" w:rsidRPr="00BE0340">
                <w:rPr>
                  <w:rStyle w:val="Hyperlink"/>
                  <w:rFonts w:ascii="Calibri" w:hAnsi="Calibri" w:cs="Calibri"/>
                  <w:sz w:val="24"/>
                  <w:szCs w:val="24"/>
                </w:rPr>
                <w:t>aime.nzoyihera@trademarkafrica.com</w:t>
              </w:r>
            </w:hyperlink>
            <w:r w:rsidR="008242E8" w:rsidRPr="00BE0340">
              <w:rPr>
                <w:rFonts w:ascii="Calibri" w:hAnsi="Calibri" w:cs="Calibri"/>
                <w:sz w:val="24"/>
                <w:szCs w:val="24"/>
              </w:rPr>
              <w:t xml:space="preserve"> </w:t>
            </w:r>
          </w:p>
        </w:tc>
      </w:tr>
    </w:tbl>
    <w:p w14:paraId="3BC90775" w14:textId="77777777" w:rsidR="006120D0" w:rsidRPr="00BE0340" w:rsidRDefault="006120D0" w:rsidP="00AF3F70">
      <w:pPr>
        <w:rPr>
          <w:sz w:val="24"/>
          <w:szCs w:val="24"/>
        </w:rPr>
      </w:pPr>
    </w:p>
    <w:sectPr w:rsidR="006120D0" w:rsidRPr="00BE0340" w:rsidSect="00F238C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49F8D" w14:textId="77777777" w:rsidR="00A14F18" w:rsidRDefault="00A14F18">
      <w:pPr>
        <w:spacing w:after="0" w:line="240" w:lineRule="auto"/>
      </w:pPr>
      <w:r>
        <w:separator/>
      </w:r>
    </w:p>
  </w:endnote>
  <w:endnote w:type="continuationSeparator" w:id="0">
    <w:p w14:paraId="1EF343B2" w14:textId="77777777" w:rsidR="00A14F18" w:rsidRDefault="00A14F18">
      <w:pPr>
        <w:spacing w:after="0" w:line="240" w:lineRule="auto"/>
      </w:pPr>
      <w:r>
        <w:continuationSeparator/>
      </w:r>
    </w:p>
  </w:endnote>
  <w:endnote w:type="continuationNotice" w:id="1">
    <w:p w14:paraId="33F127EC" w14:textId="77777777" w:rsidR="00A14F18" w:rsidRDefault="00A14F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44A7" w14:textId="58676E1F" w:rsidR="00363729" w:rsidRDefault="00462D67" w:rsidP="00462D67">
    <w:pPr>
      <w:pStyle w:val="Footer"/>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C8442" w14:textId="77777777" w:rsidR="00A14F18" w:rsidRDefault="00A14F18">
      <w:pPr>
        <w:spacing w:after="0" w:line="240" w:lineRule="auto"/>
      </w:pPr>
      <w:r>
        <w:separator/>
      </w:r>
    </w:p>
  </w:footnote>
  <w:footnote w:type="continuationSeparator" w:id="0">
    <w:p w14:paraId="2794497E" w14:textId="77777777" w:rsidR="00A14F18" w:rsidRDefault="00A14F18">
      <w:pPr>
        <w:spacing w:after="0" w:line="240" w:lineRule="auto"/>
      </w:pPr>
      <w:r>
        <w:continuationSeparator/>
      </w:r>
    </w:p>
  </w:footnote>
  <w:footnote w:type="continuationNotice" w:id="1">
    <w:p w14:paraId="2AEE7030" w14:textId="77777777" w:rsidR="00A14F18" w:rsidRDefault="00A14F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B31C" w14:textId="60B50C8E" w:rsidR="00363729" w:rsidRDefault="007118A9">
    <w:pPr>
      <w:pStyle w:val="Header"/>
      <w:jc w:val="right"/>
    </w:pPr>
    <w:r>
      <w:rPr>
        <w:noProof/>
      </w:rPr>
      <w:drawing>
        <wp:inline distT="0" distB="0" distL="0" distR="0" wp14:anchorId="1CAF9BB3" wp14:editId="28D5BF60">
          <wp:extent cx="844506" cy="720356"/>
          <wp:effectExtent l="0" t="0" r="0" b="3810"/>
          <wp:docPr id="1897656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56280" name="Picture 1897656280"/>
                  <pic:cNvPicPr/>
                </pic:nvPicPr>
                <pic:blipFill>
                  <a:blip r:embed="rId1">
                    <a:extLst>
                      <a:ext uri="{28A0092B-C50C-407E-A947-70E740481C1C}">
                        <a14:useLocalDpi xmlns:a14="http://schemas.microsoft.com/office/drawing/2010/main" val="0"/>
                      </a:ext>
                    </a:extLst>
                  </a:blip>
                  <a:stretch>
                    <a:fillRect/>
                  </a:stretch>
                </pic:blipFill>
                <pic:spPr>
                  <a:xfrm>
                    <a:off x="0" y="0"/>
                    <a:ext cx="867160" cy="739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021A"/>
    <w:multiLevelType w:val="hybridMultilevel"/>
    <w:tmpl w:val="97DC6AB2"/>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6117206"/>
    <w:multiLevelType w:val="hybridMultilevel"/>
    <w:tmpl w:val="3C526B4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71554D0"/>
    <w:multiLevelType w:val="multilevel"/>
    <w:tmpl w:val="CF50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32E09"/>
    <w:multiLevelType w:val="hybridMultilevel"/>
    <w:tmpl w:val="B4A0E5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23F26CD"/>
    <w:multiLevelType w:val="hybridMultilevel"/>
    <w:tmpl w:val="A0149A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B83516"/>
    <w:multiLevelType w:val="multilevel"/>
    <w:tmpl w:val="BC70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27AD1"/>
    <w:multiLevelType w:val="hybridMultilevel"/>
    <w:tmpl w:val="E6165596"/>
    <w:lvl w:ilvl="0" w:tplc="4620AE9E">
      <w:numFmt w:val="bullet"/>
      <w:lvlText w:val=""/>
      <w:lvlJc w:val="left"/>
      <w:pPr>
        <w:ind w:left="1080" w:hanging="360"/>
      </w:pPr>
      <w:rPr>
        <w:rFonts w:ascii="Calibri" w:eastAsia="Cambria"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159477EA"/>
    <w:multiLevelType w:val="hybridMultilevel"/>
    <w:tmpl w:val="2B3E4B6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1C11761F"/>
    <w:multiLevelType w:val="hybridMultilevel"/>
    <w:tmpl w:val="AFC6AB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C220A02"/>
    <w:multiLevelType w:val="multilevel"/>
    <w:tmpl w:val="3082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A1A46"/>
    <w:multiLevelType w:val="hybridMultilevel"/>
    <w:tmpl w:val="6400E2B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22D03407"/>
    <w:multiLevelType w:val="hybridMultilevel"/>
    <w:tmpl w:val="5CC68F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24742214"/>
    <w:multiLevelType w:val="hybridMultilevel"/>
    <w:tmpl w:val="FD8A2D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49B0894"/>
    <w:multiLevelType w:val="hybridMultilevel"/>
    <w:tmpl w:val="82125ED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25DF1775"/>
    <w:multiLevelType w:val="hybridMultilevel"/>
    <w:tmpl w:val="2D06CA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CFF5DAA"/>
    <w:multiLevelType w:val="hybridMultilevel"/>
    <w:tmpl w:val="3DB6D46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30D808A9"/>
    <w:multiLevelType w:val="multilevel"/>
    <w:tmpl w:val="C440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7E38A7"/>
    <w:multiLevelType w:val="hybridMultilevel"/>
    <w:tmpl w:val="5944FF4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15:restartNumberingAfterBreak="0">
    <w:nsid w:val="340C6EFB"/>
    <w:multiLevelType w:val="hybridMultilevel"/>
    <w:tmpl w:val="988A5E6C"/>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5803D35"/>
    <w:multiLevelType w:val="multilevel"/>
    <w:tmpl w:val="90A6D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A051CCC"/>
    <w:multiLevelType w:val="multilevel"/>
    <w:tmpl w:val="CC48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C53F27"/>
    <w:multiLevelType w:val="multilevel"/>
    <w:tmpl w:val="90A6D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3C2F211B"/>
    <w:multiLevelType w:val="multilevel"/>
    <w:tmpl w:val="9A10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1B0FD0"/>
    <w:multiLevelType w:val="hybridMultilevel"/>
    <w:tmpl w:val="AE6E3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0C451FC"/>
    <w:multiLevelType w:val="multilevel"/>
    <w:tmpl w:val="C9BA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356FDA"/>
    <w:multiLevelType w:val="hybridMultilevel"/>
    <w:tmpl w:val="7CD21A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4D26CF7"/>
    <w:multiLevelType w:val="hybridMultilevel"/>
    <w:tmpl w:val="092C187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492F64A1"/>
    <w:multiLevelType w:val="hybridMultilevel"/>
    <w:tmpl w:val="76A282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97376F4"/>
    <w:multiLevelType w:val="multilevel"/>
    <w:tmpl w:val="5FFA5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D8666D"/>
    <w:multiLevelType w:val="hybridMultilevel"/>
    <w:tmpl w:val="7BEEBE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C5A43F6"/>
    <w:multiLevelType w:val="hybridMultilevel"/>
    <w:tmpl w:val="113209C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603C1903"/>
    <w:multiLevelType w:val="hybridMultilevel"/>
    <w:tmpl w:val="8B688B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5682414"/>
    <w:multiLevelType w:val="hybridMultilevel"/>
    <w:tmpl w:val="F1E8E868"/>
    <w:lvl w:ilvl="0" w:tplc="C46A9E5E">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F3C3048"/>
    <w:multiLevelType w:val="hybridMultilevel"/>
    <w:tmpl w:val="F5FC56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0C5157B"/>
    <w:multiLevelType w:val="multilevel"/>
    <w:tmpl w:val="92463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3E4E0F"/>
    <w:multiLevelType w:val="hybridMultilevel"/>
    <w:tmpl w:val="D8EC50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8AF1241"/>
    <w:multiLevelType w:val="hybridMultilevel"/>
    <w:tmpl w:val="8D58F4F4"/>
    <w:lvl w:ilvl="0" w:tplc="4620AE9E">
      <w:numFmt w:val="bullet"/>
      <w:lvlText w:val=""/>
      <w:lvlJc w:val="left"/>
      <w:pPr>
        <w:ind w:left="720" w:hanging="360"/>
      </w:pPr>
      <w:rPr>
        <w:rFonts w:ascii="Calibri" w:eastAsia="Cambr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15414144">
    <w:abstractNumId w:val="23"/>
  </w:num>
  <w:num w:numId="2" w16cid:durableId="390152176">
    <w:abstractNumId w:val="4"/>
  </w:num>
  <w:num w:numId="3" w16cid:durableId="1648590634">
    <w:abstractNumId w:val="27"/>
  </w:num>
  <w:num w:numId="4" w16cid:durableId="1815482256">
    <w:abstractNumId w:val="34"/>
  </w:num>
  <w:num w:numId="5" w16cid:durableId="799152830">
    <w:abstractNumId w:val="19"/>
  </w:num>
  <w:num w:numId="6" w16cid:durableId="1740516456">
    <w:abstractNumId w:val="30"/>
  </w:num>
  <w:num w:numId="7" w16cid:durableId="935552207">
    <w:abstractNumId w:val="22"/>
  </w:num>
  <w:num w:numId="8" w16cid:durableId="56517229">
    <w:abstractNumId w:val="28"/>
  </w:num>
  <w:num w:numId="9" w16cid:durableId="1011492222">
    <w:abstractNumId w:val="16"/>
  </w:num>
  <w:num w:numId="10" w16cid:durableId="260920905">
    <w:abstractNumId w:val="1"/>
  </w:num>
  <w:num w:numId="11" w16cid:durableId="1828201377">
    <w:abstractNumId w:val="10"/>
  </w:num>
  <w:num w:numId="12" w16cid:durableId="1261570313">
    <w:abstractNumId w:val="26"/>
  </w:num>
  <w:num w:numId="13" w16cid:durableId="544952118">
    <w:abstractNumId w:val="3"/>
  </w:num>
  <w:num w:numId="14" w16cid:durableId="722868289">
    <w:abstractNumId w:val="36"/>
  </w:num>
  <w:num w:numId="15" w16cid:durableId="1067991044">
    <w:abstractNumId w:val="6"/>
  </w:num>
  <w:num w:numId="16" w16cid:durableId="1359744579">
    <w:abstractNumId w:val="18"/>
  </w:num>
  <w:num w:numId="17" w16cid:durableId="1660964319">
    <w:abstractNumId w:val="21"/>
  </w:num>
  <w:num w:numId="18" w16cid:durableId="1035426345">
    <w:abstractNumId w:val="14"/>
  </w:num>
  <w:num w:numId="19" w16cid:durableId="1892382591">
    <w:abstractNumId w:val="9"/>
  </w:num>
  <w:num w:numId="20" w16cid:durableId="1104419555">
    <w:abstractNumId w:val="11"/>
  </w:num>
  <w:num w:numId="21" w16cid:durableId="1252352440">
    <w:abstractNumId w:val="2"/>
  </w:num>
  <w:num w:numId="22" w16cid:durableId="1751580735">
    <w:abstractNumId w:val="13"/>
  </w:num>
  <w:num w:numId="23" w16cid:durableId="1470324954">
    <w:abstractNumId w:val="5"/>
  </w:num>
  <w:num w:numId="24" w16cid:durableId="527106228">
    <w:abstractNumId w:val="7"/>
  </w:num>
  <w:num w:numId="25" w16cid:durableId="1095173789">
    <w:abstractNumId w:val="31"/>
  </w:num>
  <w:num w:numId="26" w16cid:durableId="1169439981">
    <w:abstractNumId w:val="20"/>
  </w:num>
  <w:num w:numId="27" w16cid:durableId="1613702096">
    <w:abstractNumId w:val="15"/>
  </w:num>
  <w:num w:numId="28" w16cid:durableId="1820534155">
    <w:abstractNumId w:val="35"/>
  </w:num>
  <w:num w:numId="29" w16cid:durableId="2040812667">
    <w:abstractNumId w:val="25"/>
  </w:num>
  <w:num w:numId="30" w16cid:durableId="1996253817">
    <w:abstractNumId w:val="32"/>
  </w:num>
  <w:num w:numId="31" w16cid:durableId="1234004697">
    <w:abstractNumId w:val="0"/>
  </w:num>
  <w:num w:numId="32" w16cid:durableId="1007176046">
    <w:abstractNumId w:val="29"/>
  </w:num>
  <w:num w:numId="33" w16cid:durableId="1649625834">
    <w:abstractNumId w:val="17"/>
  </w:num>
  <w:num w:numId="34" w16cid:durableId="1464302720">
    <w:abstractNumId w:val="8"/>
  </w:num>
  <w:num w:numId="35" w16cid:durableId="77404943">
    <w:abstractNumId w:val="24"/>
  </w:num>
  <w:num w:numId="36" w16cid:durableId="558907165">
    <w:abstractNumId w:val="33"/>
  </w:num>
  <w:num w:numId="37" w16cid:durableId="6128279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96"/>
    <w:rsid w:val="000163E1"/>
    <w:rsid w:val="00021A51"/>
    <w:rsid w:val="00035F2E"/>
    <w:rsid w:val="000420E1"/>
    <w:rsid w:val="0005658A"/>
    <w:rsid w:val="0005703D"/>
    <w:rsid w:val="0007530C"/>
    <w:rsid w:val="00085774"/>
    <w:rsid w:val="00097E8E"/>
    <w:rsid w:val="000A3A85"/>
    <w:rsid w:val="000B43D7"/>
    <w:rsid w:val="000B4DFF"/>
    <w:rsid w:val="000D73B5"/>
    <w:rsid w:val="000F3DDD"/>
    <w:rsid w:val="00112003"/>
    <w:rsid w:val="00170EE6"/>
    <w:rsid w:val="00192F4C"/>
    <w:rsid w:val="001959DF"/>
    <w:rsid w:val="001A0AD7"/>
    <w:rsid w:val="001A48F5"/>
    <w:rsid w:val="001B62FC"/>
    <w:rsid w:val="001D5D91"/>
    <w:rsid w:val="002007A8"/>
    <w:rsid w:val="00201FA6"/>
    <w:rsid w:val="00227356"/>
    <w:rsid w:val="00232849"/>
    <w:rsid w:val="002578FD"/>
    <w:rsid w:val="00262271"/>
    <w:rsid w:val="00262B51"/>
    <w:rsid w:val="00267E51"/>
    <w:rsid w:val="002A48F0"/>
    <w:rsid w:val="002C48B4"/>
    <w:rsid w:val="002E7DA4"/>
    <w:rsid w:val="00305EA8"/>
    <w:rsid w:val="00314E92"/>
    <w:rsid w:val="0032722A"/>
    <w:rsid w:val="0033305A"/>
    <w:rsid w:val="00340D75"/>
    <w:rsid w:val="00343986"/>
    <w:rsid w:val="003475D8"/>
    <w:rsid w:val="00363729"/>
    <w:rsid w:val="00365060"/>
    <w:rsid w:val="0038074A"/>
    <w:rsid w:val="003A126B"/>
    <w:rsid w:val="003A3A82"/>
    <w:rsid w:val="003A51EF"/>
    <w:rsid w:val="003B32E3"/>
    <w:rsid w:val="003B4907"/>
    <w:rsid w:val="003C6713"/>
    <w:rsid w:val="00403260"/>
    <w:rsid w:val="00412D52"/>
    <w:rsid w:val="00414E75"/>
    <w:rsid w:val="00423E2D"/>
    <w:rsid w:val="004445EC"/>
    <w:rsid w:val="00450D39"/>
    <w:rsid w:val="00462D67"/>
    <w:rsid w:val="00465430"/>
    <w:rsid w:val="00470C37"/>
    <w:rsid w:val="00485513"/>
    <w:rsid w:val="00493DB9"/>
    <w:rsid w:val="004A3EB4"/>
    <w:rsid w:val="004C6939"/>
    <w:rsid w:val="004E55DF"/>
    <w:rsid w:val="00526746"/>
    <w:rsid w:val="00552459"/>
    <w:rsid w:val="00581B21"/>
    <w:rsid w:val="00585C6A"/>
    <w:rsid w:val="00591A27"/>
    <w:rsid w:val="00597E59"/>
    <w:rsid w:val="005A6DBC"/>
    <w:rsid w:val="005B534B"/>
    <w:rsid w:val="005B7F72"/>
    <w:rsid w:val="005F0278"/>
    <w:rsid w:val="005F124B"/>
    <w:rsid w:val="00601554"/>
    <w:rsid w:val="00601718"/>
    <w:rsid w:val="006120D0"/>
    <w:rsid w:val="00632588"/>
    <w:rsid w:val="0063295F"/>
    <w:rsid w:val="0063386D"/>
    <w:rsid w:val="006529A5"/>
    <w:rsid w:val="00655282"/>
    <w:rsid w:val="00666E59"/>
    <w:rsid w:val="006D0316"/>
    <w:rsid w:val="006F1C40"/>
    <w:rsid w:val="00704856"/>
    <w:rsid w:val="007118A9"/>
    <w:rsid w:val="00716564"/>
    <w:rsid w:val="007260D2"/>
    <w:rsid w:val="00740458"/>
    <w:rsid w:val="007420FA"/>
    <w:rsid w:val="00742123"/>
    <w:rsid w:val="00772E09"/>
    <w:rsid w:val="00774526"/>
    <w:rsid w:val="0077781E"/>
    <w:rsid w:val="007945E0"/>
    <w:rsid w:val="007B20AC"/>
    <w:rsid w:val="007D1B33"/>
    <w:rsid w:val="007D2534"/>
    <w:rsid w:val="007D6A39"/>
    <w:rsid w:val="007E4E58"/>
    <w:rsid w:val="00810823"/>
    <w:rsid w:val="008242E8"/>
    <w:rsid w:val="00842ED5"/>
    <w:rsid w:val="0084314F"/>
    <w:rsid w:val="00875285"/>
    <w:rsid w:val="008810ED"/>
    <w:rsid w:val="00896702"/>
    <w:rsid w:val="008B22A2"/>
    <w:rsid w:val="008D339B"/>
    <w:rsid w:val="008D3BA7"/>
    <w:rsid w:val="008D3BE8"/>
    <w:rsid w:val="008E3FC9"/>
    <w:rsid w:val="008F1BD3"/>
    <w:rsid w:val="0090222B"/>
    <w:rsid w:val="00907571"/>
    <w:rsid w:val="009217E2"/>
    <w:rsid w:val="0092350F"/>
    <w:rsid w:val="00926789"/>
    <w:rsid w:val="00944142"/>
    <w:rsid w:val="009563E2"/>
    <w:rsid w:val="00957029"/>
    <w:rsid w:val="0096050A"/>
    <w:rsid w:val="00964B46"/>
    <w:rsid w:val="009901CA"/>
    <w:rsid w:val="009970CB"/>
    <w:rsid w:val="009A3E6C"/>
    <w:rsid w:val="009B13B6"/>
    <w:rsid w:val="009C0D61"/>
    <w:rsid w:val="009C767C"/>
    <w:rsid w:val="00A14F18"/>
    <w:rsid w:val="00A31066"/>
    <w:rsid w:val="00A42E4A"/>
    <w:rsid w:val="00A440D7"/>
    <w:rsid w:val="00A52281"/>
    <w:rsid w:val="00A63D2F"/>
    <w:rsid w:val="00A67C5F"/>
    <w:rsid w:val="00A71A05"/>
    <w:rsid w:val="00A749ED"/>
    <w:rsid w:val="00A755EE"/>
    <w:rsid w:val="00AA37D8"/>
    <w:rsid w:val="00AB1BC7"/>
    <w:rsid w:val="00AF3F70"/>
    <w:rsid w:val="00B1210F"/>
    <w:rsid w:val="00B245B1"/>
    <w:rsid w:val="00B367B6"/>
    <w:rsid w:val="00B46920"/>
    <w:rsid w:val="00B6115F"/>
    <w:rsid w:val="00B61311"/>
    <w:rsid w:val="00B70801"/>
    <w:rsid w:val="00B7390D"/>
    <w:rsid w:val="00B810D4"/>
    <w:rsid w:val="00B92B35"/>
    <w:rsid w:val="00BA00EA"/>
    <w:rsid w:val="00BA0EC5"/>
    <w:rsid w:val="00BB4E70"/>
    <w:rsid w:val="00BC53CF"/>
    <w:rsid w:val="00BD5336"/>
    <w:rsid w:val="00BE0340"/>
    <w:rsid w:val="00C07279"/>
    <w:rsid w:val="00C143E7"/>
    <w:rsid w:val="00C301AE"/>
    <w:rsid w:val="00C70588"/>
    <w:rsid w:val="00C72211"/>
    <w:rsid w:val="00C87D99"/>
    <w:rsid w:val="00C93989"/>
    <w:rsid w:val="00CB2071"/>
    <w:rsid w:val="00CB3EAF"/>
    <w:rsid w:val="00CB74E1"/>
    <w:rsid w:val="00CD52C8"/>
    <w:rsid w:val="00CE10CA"/>
    <w:rsid w:val="00CF7448"/>
    <w:rsid w:val="00D0086B"/>
    <w:rsid w:val="00D06AD3"/>
    <w:rsid w:val="00D13CC9"/>
    <w:rsid w:val="00D235B9"/>
    <w:rsid w:val="00D31AA0"/>
    <w:rsid w:val="00D34367"/>
    <w:rsid w:val="00D4604C"/>
    <w:rsid w:val="00D57CC2"/>
    <w:rsid w:val="00D7204C"/>
    <w:rsid w:val="00D73C63"/>
    <w:rsid w:val="00D743F6"/>
    <w:rsid w:val="00DB467B"/>
    <w:rsid w:val="00DD3677"/>
    <w:rsid w:val="00DE4FE8"/>
    <w:rsid w:val="00DF7D7C"/>
    <w:rsid w:val="00E055B4"/>
    <w:rsid w:val="00E20185"/>
    <w:rsid w:val="00E362F7"/>
    <w:rsid w:val="00E37D48"/>
    <w:rsid w:val="00E40441"/>
    <w:rsid w:val="00E475BC"/>
    <w:rsid w:val="00E655F4"/>
    <w:rsid w:val="00E71091"/>
    <w:rsid w:val="00E741F3"/>
    <w:rsid w:val="00E811E8"/>
    <w:rsid w:val="00EA49F6"/>
    <w:rsid w:val="00EC4DAC"/>
    <w:rsid w:val="00EC5423"/>
    <w:rsid w:val="00EF69AE"/>
    <w:rsid w:val="00F05414"/>
    <w:rsid w:val="00F17684"/>
    <w:rsid w:val="00F238C9"/>
    <w:rsid w:val="00F3444D"/>
    <w:rsid w:val="00F40A8C"/>
    <w:rsid w:val="00F511DC"/>
    <w:rsid w:val="00FA7F74"/>
    <w:rsid w:val="00FC0C96"/>
    <w:rsid w:val="00FE3A12"/>
    <w:rsid w:val="00FE577E"/>
    <w:rsid w:val="00FE77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15349"/>
  <w15:chartTrackingRefBased/>
  <w15:docId w15:val="{27E70085-FB79-4FFF-B60D-6F0F3667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FE8"/>
  </w:style>
  <w:style w:type="paragraph" w:styleId="Footer">
    <w:name w:val="footer"/>
    <w:basedOn w:val="Normal"/>
    <w:link w:val="FooterChar"/>
    <w:uiPriority w:val="99"/>
    <w:unhideWhenUsed/>
    <w:rsid w:val="00D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FE8"/>
  </w:style>
  <w:style w:type="table" w:styleId="TableGrid">
    <w:name w:val="Table Grid"/>
    <w:basedOn w:val="TableNormal"/>
    <w:uiPriority w:val="39"/>
    <w:rsid w:val="000D7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10D4"/>
    <w:rPr>
      <w:color w:val="0563C1" w:themeColor="hyperlink"/>
      <w:u w:val="single"/>
    </w:rPr>
  </w:style>
  <w:style w:type="table" w:styleId="PlainTable4">
    <w:name w:val="Plain Table 4"/>
    <w:basedOn w:val="TableNormal"/>
    <w:uiPriority w:val="44"/>
    <w:rsid w:val="00C143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5">
    <w:name w:val="Grid Table 4 Accent 5"/>
    <w:basedOn w:val="TableNormal"/>
    <w:uiPriority w:val="49"/>
    <w:rsid w:val="00E404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E20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185"/>
    <w:rPr>
      <w:rFonts w:ascii="Segoe UI" w:hAnsi="Segoe UI" w:cs="Segoe UI"/>
      <w:sz w:val="18"/>
      <w:szCs w:val="18"/>
    </w:rPr>
  </w:style>
  <w:style w:type="character" w:styleId="UnresolvedMention">
    <w:name w:val="Unresolved Mention"/>
    <w:basedOn w:val="DefaultParagraphFont"/>
    <w:uiPriority w:val="99"/>
    <w:semiHidden/>
    <w:unhideWhenUsed/>
    <w:rsid w:val="00CB2071"/>
    <w:rPr>
      <w:color w:val="605E5C"/>
      <w:shd w:val="clear" w:color="auto" w:fill="E1DFDD"/>
    </w:rPr>
  </w:style>
  <w:style w:type="paragraph" w:styleId="ListParagraph">
    <w:name w:val="List Paragraph"/>
    <w:basedOn w:val="Normal"/>
    <w:uiPriority w:val="34"/>
    <w:qFormat/>
    <w:rsid w:val="001959DF"/>
    <w:pPr>
      <w:ind w:left="720"/>
      <w:contextualSpacing/>
    </w:pPr>
  </w:style>
  <w:style w:type="character" w:styleId="CommentReference">
    <w:name w:val="annotation reference"/>
    <w:basedOn w:val="DefaultParagraphFont"/>
    <w:uiPriority w:val="99"/>
    <w:semiHidden/>
    <w:unhideWhenUsed/>
    <w:rsid w:val="005B7F72"/>
    <w:rPr>
      <w:sz w:val="16"/>
      <w:szCs w:val="16"/>
    </w:rPr>
  </w:style>
  <w:style w:type="paragraph" w:styleId="CommentText">
    <w:name w:val="annotation text"/>
    <w:basedOn w:val="Normal"/>
    <w:link w:val="CommentTextChar"/>
    <w:uiPriority w:val="99"/>
    <w:unhideWhenUsed/>
    <w:rsid w:val="005B7F72"/>
    <w:pPr>
      <w:spacing w:line="240" w:lineRule="auto"/>
    </w:pPr>
    <w:rPr>
      <w:sz w:val="20"/>
      <w:szCs w:val="20"/>
    </w:rPr>
  </w:style>
  <w:style w:type="character" w:customStyle="1" w:styleId="CommentTextChar">
    <w:name w:val="Comment Text Char"/>
    <w:basedOn w:val="DefaultParagraphFont"/>
    <w:link w:val="CommentText"/>
    <w:uiPriority w:val="99"/>
    <w:rsid w:val="005B7F72"/>
    <w:rPr>
      <w:sz w:val="20"/>
      <w:szCs w:val="20"/>
    </w:rPr>
  </w:style>
  <w:style w:type="paragraph" w:styleId="CommentSubject">
    <w:name w:val="annotation subject"/>
    <w:basedOn w:val="CommentText"/>
    <w:next w:val="CommentText"/>
    <w:link w:val="CommentSubjectChar"/>
    <w:uiPriority w:val="99"/>
    <w:semiHidden/>
    <w:unhideWhenUsed/>
    <w:rsid w:val="005B7F72"/>
    <w:rPr>
      <w:b/>
      <w:bCs/>
    </w:rPr>
  </w:style>
  <w:style w:type="character" w:customStyle="1" w:styleId="CommentSubjectChar">
    <w:name w:val="Comment Subject Char"/>
    <w:basedOn w:val="CommentTextChar"/>
    <w:link w:val="CommentSubject"/>
    <w:uiPriority w:val="99"/>
    <w:semiHidden/>
    <w:rsid w:val="005B7F72"/>
    <w:rPr>
      <w:b/>
      <w:bCs/>
      <w:sz w:val="20"/>
      <w:szCs w:val="20"/>
    </w:rPr>
  </w:style>
  <w:style w:type="character" w:styleId="FootnoteReference">
    <w:name w:val="footnote reference"/>
    <w:aliases w:val="Footnote Reference1,Error-Fußnotenzeichen5,Error-Fußnotenzeichen6,Error-Fußnotenzeichen3,ftref,Footnote Reference Number,referencia nota al pie,Estilo de nota al pie de Africa,Char Char Char Char Car Char,Ref,de nota al pie,FO,fr,FR"/>
    <w:basedOn w:val="DefaultParagraphFont"/>
    <w:link w:val="BVIfnrCharCar1CarChar"/>
    <w:uiPriority w:val="99"/>
    <w:unhideWhenUsed/>
    <w:qFormat/>
    <w:rsid w:val="005B7F72"/>
    <w:rPr>
      <w:vertAlign w:val="superscript"/>
    </w:rPr>
  </w:style>
  <w:style w:type="character" w:styleId="Strong">
    <w:name w:val="Strong"/>
    <w:basedOn w:val="DefaultParagraphFont"/>
    <w:uiPriority w:val="22"/>
    <w:qFormat/>
    <w:rsid w:val="00232849"/>
    <w:rPr>
      <w:b/>
      <w:bCs/>
    </w:rPr>
  </w:style>
  <w:style w:type="paragraph" w:styleId="Revision">
    <w:name w:val="Revision"/>
    <w:hidden/>
    <w:uiPriority w:val="99"/>
    <w:semiHidden/>
    <w:rsid w:val="001A0AD7"/>
    <w:pPr>
      <w:spacing w:after="0" w:line="240" w:lineRule="auto"/>
    </w:pPr>
  </w:style>
  <w:style w:type="paragraph" w:styleId="Subtitle">
    <w:name w:val="Subtitle"/>
    <w:basedOn w:val="Normal"/>
    <w:next w:val="Normal"/>
    <w:link w:val="SubtitleChar"/>
    <w:uiPriority w:val="11"/>
    <w:qFormat/>
    <w:rsid w:val="00170EE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0EE6"/>
    <w:rPr>
      <w:rFonts w:eastAsiaTheme="majorEastAsia" w:cstheme="majorBidi"/>
      <w:color w:val="595959" w:themeColor="text1" w:themeTint="A6"/>
      <w:spacing w:val="15"/>
      <w:kern w:val="2"/>
      <w:sz w:val="28"/>
      <w:szCs w:val="28"/>
      <w14:ligatures w14:val="standardContextual"/>
    </w:rPr>
  </w:style>
  <w:style w:type="paragraph" w:styleId="NoSpacing">
    <w:name w:val="No Spacing"/>
    <w:uiPriority w:val="1"/>
    <w:qFormat/>
    <w:rsid w:val="00170EE6"/>
    <w:pPr>
      <w:spacing w:after="0" w:line="240" w:lineRule="auto"/>
    </w:pPr>
    <w:rPr>
      <w:kern w:val="2"/>
      <w:sz w:val="24"/>
      <w:szCs w:val="24"/>
      <w14:ligatures w14:val="standardContextual"/>
    </w:rPr>
  </w:style>
  <w:style w:type="paragraph" w:styleId="FootnoteText">
    <w:name w:val="footnote text"/>
    <w:aliases w:val="FOOTNOTES,fn,single space,Footnote Text Char2 Char,Footnote Text Char1 Char Char,Footnote Text Char2 Char Char Char,Footnote Text Char1 Char Char Char Char,Footnote Text Char2 Char Char Char Char Char,ADB,Geneva 9,Boston 10,ft,f,Footno"/>
    <w:basedOn w:val="Normal"/>
    <w:link w:val="FootnoteTextChar"/>
    <w:uiPriority w:val="99"/>
    <w:unhideWhenUsed/>
    <w:qFormat/>
    <w:rsid w:val="001B62FC"/>
    <w:pPr>
      <w:spacing w:after="0" w:line="240" w:lineRule="auto"/>
    </w:pPr>
    <w:rPr>
      <w:rFonts w:eastAsia="Times New Roman" w:cs="Times New Roman"/>
      <w:sz w:val="20"/>
      <w:szCs w:val="20"/>
    </w:rPr>
  </w:style>
  <w:style w:type="character" w:customStyle="1" w:styleId="FootnoteTextChar">
    <w:name w:val="Footnote Text Char"/>
    <w:aliases w:val="FOOTNOTES Char,fn Char,single space Char,Footnote Text Char2 Char Char,Footnote Text Char1 Char Char Char,Footnote Text Char2 Char Char Char Char,Footnote Text Char1 Char Char Char Char Char,ADB Char,Geneva 9 Char,Boston 10 Char"/>
    <w:basedOn w:val="DefaultParagraphFont"/>
    <w:link w:val="FootnoteText"/>
    <w:uiPriority w:val="99"/>
    <w:qFormat/>
    <w:rsid w:val="001B62FC"/>
    <w:rPr>
      <w:rFonts w:eastAsia="Times New Roman" w:cs="Times New Roman"/>
      <w:sz w:val="20"/>
      <w:szCs w:val="20"/>
    </w:rPr>
  </w:style>
  <w:style w:type="paragraph" w:customStyle="1" w:styleId="BVIfnrCharCar1CarChar">
    <w:name w:val="BVI fnr Char Car1 Car Char"/>
    <w:aliases w:val="BVI fnr Char Car Car Char,ftref Char Car Car Char,BVI fnr Char Car Char Char Car Car Char,ftref Char Car Char Char Car Car Char,BVI fnr Char, BVI fnr Char Car Char Char Car Car Char, BVI fnr Char"/>
    <w:basedOn w:val="Normal"/>
    <w:next w:val="Normal"/>
    <w:link w:val="FootnoteReference"/>
    <w:uiPriority w:val="99"/>
    <w:rsid w:val="001B62FC"/>
    <w:pPr>
      <w:spacing w:line="240" w:lineRule="exact"/>
      <w:jc w:val="both"/>
    </w:pPr>
    <w:rPr>
      <w:vertAlign w:val="superscript"/>
    </w:rPr>
  </w:style>
  <w:style w:type="paragraph" w:styleId="EndnoteText">
    <w:name w:val="endnote text"/>
    <w:basedOn w:val="Normal"/>
    <w:link w:val="EndnoteTextChar"/>
    <w:uiPriority w:val="99"/>
    <w:semiHidden/>
    <w:unhideWhenUsed/>
    <w:rsid w:val="001B62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B62FC"/>
    <w:rPr>
      <w:sz w:val="20"/>
      <w:szCs w:val="20"/>
    </w:rPr>
  </w:style>
  <w:style w:type="character" w:styleId="EndnoteReference">
    <w:name w:val="endnote reference"/>
    <w:basedOn w:val="DefaultParagraphFont"/>
    <w:uiPriority w:val="99"/>
    <w:semiHidden/>
    <w:unhideWhenUsed/>
    <w:rsid w:val="001B62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91272">
      <w:bodyDiv w:val="1"/>
      <w:marLeft w:val="0"/>
      <w:marRight w:val="0"/>
      <w:marTop w:val="0"/>
      <w:marBottom w:val="0"/>
      <w:divBdr>
        <w:top w:val="none" w:sz="0" w:space="0" w:color="auto"/>
        <w:left w:val="none" w:sz="0" w:space="0" w:color="auto"/>
        <w:bottom w:val="none" w:sz="0" w:space="0" w:color="auto"/>
        <w:right w:val="none" w:sz="0" w:space="0" w:color="auto"/>
      </w:divBdr>
    </w:div>
    <w:div w:id="561020739">
      <w:bodyDiv w:val="1"/>
      <w:marLeft w:val="0"/>
      <w:marRight w:val="0"/>
      <w:marTop w:val="0"/>
      <w:marBottom w:val="0"/>
      <w:divBdr>
        <w:top w:val="none" w:sz="0" w:space="0" w:color="auto"/>
        <w:left w:val="none" w:sz="0" w:space="0" w:color="auto"/>
        <w:bottom w:val="none" w:sz="0" w:space="0" w:color="auto"/>
        <w:right w:val="none" w:sz="0" w:space="0" w:color="auto"/>
      </w:divBdr>
    </w:div>
    <w:div w:id="739136541">
      <w:bodyDiv w:val="1"/>
      <w:marLeft w:val="0"/>
      <w:marRight w:val="0"/>
      <w:marTop w:val="0"/>
      <w:marBottom w:val="0"/>
      <w:divBdr>
        <w:top w:val="none" w:sz="0" w:space="0" w:color="auto"/>
        <w:left w:val="none" w:sz="0" w:space="0" w:color="auto"/>
        <w:bottom w:val="none" w:sz="0" w:space="0" w:color="auto"/>
        <w:right w:val="none" w:sz="0" w:space="0" w:color="auto"/>
      </w:divBdr>
    </w:div>
    <w:div w:id="754591524">
      <w:bodyDiv w:val="1"/>
      <w:marLeft w:val="0"/>
      <w:marRight w:val="0"/>
      <w:marTop w:val="0"/>
      <w:marBottom w:val="0"/>
      <w:divBdr>
        <w:top w:val="none" w:sz="0" w:space="0" w:color="auto"/>
        <w:left w:val="none" w:sz="0" w:space="0" w:color="auto"/>
        <w:bottom w:val="none" w:sz="0" w:space="0" w:color="auto"/>
        <w:right w:val="none" w:sz="0" w:space="0" w:color="auto"/>
      </w:divBdr>
    </w:div>
    <w:div w:id="848639659">
      <w:bodyDiv w:val="1"/>
      <w:marLeft w:val="0"/>
      <w:marRight w:val="0"/>
      <w:marTop w:val="0"/>
      <w:marBottom w:val="0"/>
      <w:divBdr>
        <w:top w:val="none" w:sz="0" w:space="0" w:color="auto"/>
        <w:left w:val="none" w:sz="0" w:space="0" w:color="auto"/>
        <w:bottom w:val="none" w:sz="0" w:space="0" w:color="auto"/>
        <w:right w:val="none" w:sz="0" w:space="0" w:color="auto"/>
      </w:divBdr>
    </w:div>
    <w:div w:id="849298394">
      <w:bodyDiv w:val="1"/>
      <w:marLeft w:val="0"/>
      <w:marRight w:val="0"/>
      <w:marTop w:val="0"/>
      <w:marBottom w:val="0"/>
      <w:divBdr>
        <w:top w:val="none" w:sz="0" w:space="0" w:color="auto"/>
        <w:left w:val="none" w:sz="0" w:space="0" w:color="auto"/>
        <w:bottom w:val="none" w:sz="0" w:space="0" w:color="auto"/>
        <w:right w:val="none" w:sz="0" w:space="0" w:color="auto"/>
      </w:divBdr>
    </w:div>
    <w:div w:id="859127974">
      <w:bodyDiv w:val="1"/>
      <w:marLeft w:val="0"/>
      <w:marRight w:val="0"/>
      <w:marTop w:val="0"/>
      <w:marBottom w:val="0"/>
      <w:divBdr>
        <w:top w:val="none" w:sz="0" w:space="0" w:color="auto"/>
        <w:left w:val="none" w:sz="0" w:space="0" w:color="auto"/>
        <w:bottom w:val="none" w:sz="0" w:space="0" w:color="auto"/>
        <w:right w:val="none" w:sz="0" w:space="0" w:color="auto"/>
      </w:divBdr>
    </w:div>
    <w:div w:id="1047098840">
      <w:bodyDiv w:val="1"/>
      <w:marLeft w:val="0"/>
      <w:marRight w:val="0"/>
      <w:marTop w:val="0"/>
      <w:marBottom w:val="0"/>
      <w:divBdr>
        <w:top w:val="none" w:sz="0" w:space="0" w:color="auto"/>
        <w:left w:val="none" w:sz="0" w:space="0" w:color="auto"/>
        <w:bottom w:val="none" w:sz="0" w:space="0" w:color="auto"/>
        <w:right w:val="none" w:sz="0" w:space="0" w:color="auto"/>
      </w:divBdr>
      <w:divsChild>
        <w:div w:id="495998066">
          <w:marLeft w:val="0"/>
          <w:marRight w:val="0"/>
          <w:marTop w:val="0"/>
          <w:marBottom w:val="0"/>
          <w:divBdr>
            <w:top w:val="none" w:sz="0" w:space="0" w:color="auto"/>
            <w:left w:val="none" w:sz="0" w:space="0" w:color="auto"/>
            <w:bottom w:val="none" w:sz="0" w:space="0" w:color="auto"/>
            <w:right w:val="none" w:sz="0" w:space="0" w:color="auto"/>
          </w:divBdr>
        </w:div>
      </w:divsChild>
    </w:div>
    <w:div w:id="1179345826">
      <w:bodyDiv w:val="1"/>
      <w:marLeft w:val="0"/>
      <w:marRight w:val="0"/>
      <w:marTop w:val="0"/>
      <w:marBottom w:val="0"/>
      <w:divBdr>
        <w:top w:val="none" w:sz="0" w:space="0" w:color="auto"/>
        <w:left w:val="none" w:sz="0" w:space="0" w:color="auto"/>
        <w:bottom w:val="none" w:sz="0" w:space="0" w:color="auto"/>
        <w:right w:val="none" w:sz="0" w:space="0" w:color="auto"/>
      </w:divBdr>
    </w:div>
    <w:div w:id="1215848517">
      <w:bodyDiv w:val="1"/>
      <w:marLeft w:val="0"/>
      <w:marRight w:val="0"/>
      <w:marTop w:val="0"/>
      <w:marBottom w:val="0"/>
      <w:divBdr>
        <w:top w:val="none" w:sz="0" w:space="0" w:color="auto"/>
        <w:left w:val="none" w:sz="0" w:space="0" w:color="auto"/>
        <w:bottom w:val="none" w:sz="0" w:space="0" w:color="auto"/>
        <w:right w:val="none" w:sz="0" w:space="0" w:color="auto"/>
      </w:divBdr>
    </w:div>
    <w:div w:id="1328434446">
      <w:bodyDiv w:val="1"/>
      <w:marLeft w:val="0"/>
      <w:marRight w:val="0"/>
      <w:marTop w:val="0"/>
      <w:marBottom w:val="0"/>
      <w:divBdr>
        <w:top w:val="none" w:sz="0" w:space="0" w:color="auto"/>
        <w:left w:val="none" w:sz="0" w:space="0" w:color="auto"/>
        <w:bottom w:val="none" w:sz="0" w:space="0" w:color="auto"/>
        <w:right w:val="none" w:sz="0" w:space="0" w:color="auto"/>
      </w:divBdr>
    </w:div>
    <w:div w:id="181957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me.nzoyihera@trademarkafric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demarkea.sharepoint.com/:b:/r/sites/ResultsandOrganizationalPerformance/Results%20Strategy%203/Evaluations/End%20Strategy%202%20Evaluations/Infrastructure%20Portfolio/Physical%20Infra%20S2%20Evaluation%20Final%20Report%2016%2004%2025.pdf?csf=1&amp;web=1&amp;e=XID3g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C14FA8FC0B9A42B38847B854648B6C" ma:contentTypeVersion="12" ma:contentTypeDescription="Create a new document." ma:contentTypeScope="" ma:versionID="2c9dbb6d4a53cc8511d2d68d3a69fb29">
  <xsd:schema xmlns:xsd="http://www.w3.org/2001/XMLSchema" xmlns:xs="http://www.w3.org/2001/XMLSchema" xmlns:p="http://schemas.microsoft.com/office/2006/metadata/properties" xmlns:ns2="c04d6b4f-33d1-4524-a8de-e451403a781e" xmlns:ns3="c458650c-5ef3-4079-ab6e-5d9208a6729c" targetNamespace="http://schemas.microsoft.com/office/2006/metadata/properties" ma:root="true" ma:fieldsID="fb6302cdca5c638de6d8fed2271b2c12" ns2:_="" ns3:_="">
    <xsd:import namespace="c04d6b4f-33d1-4524-a8de-e451403a781e"/>
    <xsd:import namespace="c458650c-5ef3-4079-ab6e-5d9208a672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d6b4f-33d1-4524-a8de-e451403a7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7d0c54-adc9-496d-8ad3-b484b43a47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58650c-5ef3-4079-ab6e-5d9208a672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978d2b-b997-408a-9508-f5f562d5f164}" ma:internalName="TaxCatchAll" ma:showField="CatchAllData" ma:web="c458650c-5ef3-4079-ab6e-5d9208a67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4d6b4f-33d1-4524-a8de-e451403a781e">
      <Terms xmlns="http://schemas.microsoft.com/office/infopath/2007/PartnerControls"/>
    </lcf76f155ced4ddcb4097134ff3c332f>
    <TaxCatchAll xmlns="c458650c-5ef3-4079-ab6e-5d9208a672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FDB1B-5151-4CA1-B439-1EFC5AACB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d6b4f-33d1-4524-a8de-e451403a781e"/>
    <ds:schemaRef ds:uri="c458650c-5ef3-4079-ab6e-5d9208a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635B0B-3EA8-458D-8281-32A0ABA07C15}">
  <ds:schemaRefs>
    <ds:schemaRef ds:uri="http://schemas.microsoft.com/office/2006/metadata/properties"/>
    <ds:schemaRef ds:uri="http://schemas.microsoft.com/office/infopath/2007/PartnerControls"/>
    <ds:schemaRef ds:uri="c04d6b4f-33d1-4524-a8de-e451403a781e"/>
    <ds:schemaRef ds:uri="c458650c-5ef3-4079-ab6e-5d9208a6729c"/>
  </ds:schemaRefs>
</ds:datastoreItem>
</file>

<file path=customXml/itemProps3.xml><?xml version="1.0" encoding="utf-8"?>
<ds:datastoreItem xmlns:ds="http://schemas.openxmlformats.org/officeDocument/2006/customXml" ds:itemID="{BF404412-B626-4409-9E85-23F9502A23DB}">
  <ds:schemaRefs>
    <ds:schemaRef ds:uri="http://schemas.microsoft.com/sharepoint/v3/contenttype/forms"/>
  </ds:schemaRefs>
</ds:datastoreItem>
</file>

<file path=customXml/itemProps4.xml><?xml version="1.0" encoding="utf-8"?>
<ds:datastoreItem xmlns:ds="http://schemas.openxmlformats.org/officeDocument/2006/customXml" ds:itemID="{E26CF308-8A59-4A51-875F-F7825A3CB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843</Words>
  <Characters>4572</Characters>
  <Application>Microsoft Office Word</Application>
  <DocSecurity>0</DocSecurity>
  <Lines>152</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Sylviah Luseno</dc:creator>
  <cp:keywords/>
  <dc:description/>
  <cp:lastModifiedBy>Shiro Mbiruru</cp:lastModifiedBy>
  <cp:revision>7</cp:revision>
  <dcterms:created xsi:type="dcterms:W3CDTF">2025-10-16T17:52:00Z</dcterms:created>
  <dcterms:modified xsi:type="dcterms:W3CDTF">2026-04-19T11:31:00Z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9e0983-05e3-46a0-b893-ff28b8cf1441_Enabled">
    <vt:lpwstr>true</vt:lpwstr>
  </property>
  <property fmtid="{D5CDD505-2E9C-101B-9397-08002B2CF9AE}" pid="3" name="MSIP_Label_589e0983-05e3-46a0-b893-ff28b8cf1441_SetDate">
    <vt:lpwstr>2024-05-02T06:25:45Z</vt:lpwstr>
  </property>
  <property fmtid="{D5CDD505-2E9C-101B-9397-08002B2CF9AE}" pid="4" name="MSIP_Label_589e0983-05e3-46a0-b893-ff28b8cf1441_Method">
    <vt:lpwstr>Standard</vt:lpwstr>
  </property>
  <property fmtid="{D5CDD505-2E9C-101B-9397-08002B2CF9AE}" pid="5" name="MSIP_Label_589e0983-05e3-46a0-b893-ff28b8cf1441_Name">
    <vt:lpwstr>TMEA Public</vt:lpwstr>
  </property>
  <property fmtid="{D5CDD505-2E9C-101B-9397-08002B2CF9AE}" pid="6" name="MSIP_Label_589e0983-05e3-46a0-b893-ff28b8cf1441_SiteId">
    <vt:lpwstr>71dd2498-0b95-4eb5-8b08-940c9ea4bfb8</vt:lpwstr>
  </property>
  <property fmtid="{D5CDD505-2E9C-101B-9397-08002B2CF9AE}" pid="7" name="MSIP_Label_589e0983-05e3-46a0-b893-ff28b8cf1441_ActionId">
    <vt:lpwstr>4e8e94d5-9170-4d6e-a6e2-4fa4bcf6d326</vt:lpwstr>
  </property>
  <property fmtid="{D5CDD505-2E9C-101B-9397-08002B2CF9AE}" pid="8" name="MSIP_Label_589e0983-05e3-46a0-b893-ff28b8cf1441_ContentBits">
    <vt:lpwstr>0</vt:lpwstr>
  </property>
  <property fmtid="{D5CDD505-2E9C-101B-9397-08002B2CF9AE}" pid="9" name="ContentTypeId">
    <vt:lpwstr>0x010100A7C14FA8FC0B9A42B38847B854648B6C</vt:lpwstr>
  </property>
</Properties>
</file>