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9912" w:type="dxa"/>
        <w:tblLook w:val="04A0" w:firstRow="1" w:lastRow="0" w:firstColumn="1" w:lastColumn="0" w:noHBand="0" w:noVBand="1"/>
      </w:tblPr>
      <w:tblGrid>
        <w:gridCol w:w="2263"/>
        <w:gridCol w:w="7649"/>
      </w:tblGrid>
      <w:tr w:rsidR="000D73B5" w:rsidRPr="00015AC5" w14:paraId="26C63C31" w14:textId="77777777" w:rsidTr="00D16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6B56A5" w14:textId="77777777" w:rsidR="000D73B5" w:rsidRPr="00015AC5" w:rsidRDefault="00C143E7" w:rsidP="00E40441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Project Title</w:t>
            </w:r>
            <w:r w:rsidR="000D73B5" w:rsidRPr="00015AC5">
              <w:rPr>
                <w:rFonts w:eastAsia="Cambria" w:cstheme="minorHAnsi"/>
              </w:rPr>
              <w:t xml:space="preserve">               </w:t>
            </w:r>
          </w:p>
        </w:tc>
        <w:tc>
          <w:tcPr>
            <w:tcW w:w="7649" w:type="dxa"/>
          </w:tcPr>
          <w:p w14:paraId="3CE7E197" w14:textId="17AC71C2" w:rsidR="000D73B5" w:rsidRPr="00015AC5" w:rsidRDefault="003D4A90" w:rsidP="003D4A90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lang w:val="fr-FR"/>
              </w:rPr>
            </w:pPr>
            <w:proofErr w:type="spellStart"/>
            <w:r w:rsidRPr="00015AC5">
              <w:rPr>
                <w:rFonts w:eastAsia="Cambria" w:cstheme="minorHAnsi"/>
                <w:lang w:val="fr-FR"/>
              </w:rPr>
              <w:t>Kalundu</w:t>
            </w:r>
            <w:proofErr w:type="spellEnd"/>
            <w:r w:rsidRPr="00015AC5">
              <w:rPr>
                <w:rFonts w:eastAsia="Cambria" w:cstheme="minorHAnsi"/>
                <w:lang w:val="fr-FR"/>
              </w:rPr>
              <w:t xml:space="preserve"> Port Upgrade – Infrastructure Modernisation and </w:t>
            </w:r>
            <w:proofErr w:type="spellStart"/>
            <w:r w:rsidRPr="00015AC5">
              <w:rPr>
                <w:rFonts w:eastAsia="Cambria" w:cstheme="minorHAnsi"/>
                <w:lang w:val="fr-FR"/>
              </w:rPr>
              <w:t>Capacity</w:t>
            </w:r>
            <w:proofErr w:type="spellEnd"/>
            <w:r w:rsidRPr="00015AC5">
              <w:rPr>
                <w:rFonts w:eastAsia="Cambria" w:cstheme="minorHAnsi"/>
                <w:lang w:val="fr-FR"/>
              </w:rPr>
              <w:t xml:space="preserve"> Expansion</w:t>
            </w:r>
          </w:p>
        </w:tc>
      </w:tr>
      <w:tr w:rsidR="00842ED5" w:rsidRPr="00015AC5" w14:paraId="22C901C5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82DF29" w14:textId="030C7E37" w:rsidR="00842ED5" w:rsidRPr="00015AC5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015AC5">
              <w:rPr>
                <w:rFonts w:eastAsia="Cambria" w:cstheme="minorHAnsi"/>
              </w:rPr>
              <w:t>Project Leads</w:t>
            </w:r>
          </w:p>
        </w:tc>
        <w:tc>
          <w:tcPr>
            <w:tcW w:w="7649" w:type="dxa"/>
          </w:tcPr>
          <w:p w14:paraId="58B7EB41" w14:textId="52A8F319" w:rsidR="00842ED5" w:rsidRPr="00015AC5" w:rsidRDefault="003D4A90" w:rsidP="003D4A90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15AC5">
              <w:rPr>
                <w:rFonts w:cstheme="minorHAnsi"/>
                <w:sz w:val="22"/>
                <w:szCs w:val="22"/>
              </w:rPr>
              <w:t>Government of the Democratic Republic of Congo (Ministry of Transport and Communications, National Railroad Company of DR Congo – SNCC), and TradeMark Africa</w:t>
            </w:r>
          </w:p>
        </w:tc>
      </w:tr>
      <w:tr w:rsidR="00842ED5" w:rsidRPr="00015AC5" w14:paraId="2C81A430" w14:textId="77777777" w:rsidTr="00D163E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6E0940" w14:textId="440A6350" w:rsidR="00842ED5" w:rsidRPr="00015AC5" w:rsidRDefault="00842ED5" w:rsidP="00842ED5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 xml:space="preserve">Funding </w:t>
            </w:r>
          </w:p>
        </w:tc>
        <w:tc>
          <w:tcPr>
            <w:tcW w:w="7649" w:type="dxa"/>
          </w:tcPr>
          <w:p w14:paraId="0C657D39" w14:textId="3682FA86" w:rsidR="00842ED5" w:rsidRPr="00015AC5" w:rsidRDefault="008242E8" w:rsidP="008242E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Government of the Netherlands</w:t>
            </w:r>
          </w:p>
        </w:tc>
      </w:tr>
      <w:tr w:rsidR="00842ED5" w:rsidRPr="00015AC5" w14:paraId="0843FA7D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59E4A" w14:textId="736F2B44" w:rsidR="00842ED5" w:rsidRPr="00015AC5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015AC5">
              <w:rPr>
                <w:rFonts w:cstheme="minorHAnsi"/>
              </w:rPr>
              <w:t xml:space="preserve">Value </w:t>
            </w:r>
            <w:r w:rsidR="008242E8" w:rsidRPr="00015AC5">
              <w:rPr>
                <w:rFonts w:cstheme="minorHAnsi"/>
              </w:rPr>
              <w:t>($</w:t>
            </w:r>
            <w:r w:rsidRPr="00015AC5">
              <w:rPr>
                <w:rFonts w:cstheme="minorHAnsi"/>
              </w:rPr>
              <w:t>)</w:t>
            </w:r>
          </w:p>
        </w:tc>
        <w:tc>
          <w:tcPr>
            <w:tcW w:w="7649" w:type="dxa"/>
          </w:tcPr>
          <w:p w14:paraId="33A62771" w14:textId="3A6453A1" w:rsidR="00842ED5" w:rsidRPr="00015AC5" w:rsidRDefault="008242E8" w:rsidP="003D4A9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15AC5">
              <w:rPr>
                <w:rFonts w:cstheme="minorHAnsi"/>
                <w:color w:val="000000"/>
              </w:rPr>
              <w:t>$</w:t>
            </w:r>
            <w:r w:rsidR="003D4A90" w:rsidRPr="00015AC5">
              <w:rPr>
                <w:rFonts w:cstheme="minorHAnsi"/>
              </w:rPr>
              <w:t xml:space="preserve"> </w:t>
            </w:r>
            <w:r w:rsidR="003D4A90" w:rsidRPr="00015AC5">
              <w:rPr>
                <w:rFonts w:cstheme="minorHAnsi"/>
                <w:color w:val="000000"/>
              </w:rPr>
              <w:t>3.</w:t>
            </w:r>
            <w:r w:rsidR="00904085" w:rsidRPr="00015AC5">
              <w:rPr>
                <w:rFonts w:cstheme="minorHAnsi"/>
                <w:color w:val="000000"/>
              </w:rPr>
              <w:t xml:space="preserve">4 </w:t>
            </w:r>
            <w:r w:rsidR="003D4A90" w:rsidRPr="00015AC5">
              <w:rPr>
                <w:rFonts w:cstheme="minorHAnsi"/>
                <w:color w:val="000000"/>
              </w:rPr>
              <w:t>million</w:t>
            </w:r>
          </w:p>
        </w:tc>
      </w:tr>
      <w:tr w:rsidR="00842ED5" w:rsidRPr="00015AC5" w14:paraId="6D32B0E5" w14:textId="77777777" w:rsidTr="00D163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ED381F" w14:textId="6FD61BA3" w:rsidR="00842ED5" w:rsidRPr="00015AC5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015AC5">
              <w:rPr>
                <w:rFonts w:eastAsia="Cambria" w:cstheme="minorHAnsi"/>
              </w:rPr>
              <w:t>Implementation Period</w:t>
            </w:r>
          </w:p>
        </w:tc>
        <w:tc>
          <w:tcPr>
            <w:tcW w:w="7649" w:type="dxa"/>
          </w:tcPr>
          <w:p w14:paraId="518EC544" w14:textId="145982E2" w:rsidR="00842ED5" w:rsidRPr="00015AC5" w:rsidRDefault="003D4A90" w:rsidP="003D4A9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015AC5">
              <w:rPr>
                <w:rFonts w:cstheme="minorHAnsi"/>
              </w:rPr>
              <w:t>2018–2024</w:t>
            </w:r>
          </w:p>
        </w:tc>
      </w:tr>
      <w:tr w:rsidR="00842ED5" w:rsidRPr="00015AC5" w14:paraId="2B185DB8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762BEA" w14:textId="4BBFA55F" w:rsidR="00842ED5" w:rsidRPr="00015AC5" w:rsidRDefault="00842ED5" w:rsidP="00842ED5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Project Partners</w:t>
            </w:r>
          </w:p>
        </w:tc>
        <w:tc>
          <w:tcPr>
            <w:tcW w:w="7649" w:type="dxa"/>
          </w:tcPr>
          <w:p w14:paraId="4D7F637C" w14:textId="2D65757D" w:rsidR="00FE3A12" w:rsidRPr="00015AC5" w:rsidRDefault="003D4A90" w:rsidP="003D4A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5AC5">
              <w:rPr>
                <w:rFonts w:cstheme="minorHAnsi"/>
              </w:rPr>
              <w:t>Government of the Democratic Republic of Congo, TradeMark Africa, SNCC, Sud-Kivu Provincial Government, local authorities, private sector operators, and cross-border trade associations</w:t>
            </w:r>
          </w:p>
        </w:tc>
      </w:tr>
      <w:tr w:rsidR="00842ED5" w:rsidRPr="00015AC5" w14:paraId="45893422" w14:textId="77777777" w:rsidTr="00D163E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800BA8" w14:textId="65FB2AAA" w:rsidR="00842ED5" w:rsidRPr="00015AC5" w:rsidRDefault="00842ED5" w:rsidP="00842ED5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 xml:space="preserve">Project Participants </w:t>
            </w:r>
          </w:p>
        </w:tc>
        <w:tc>
          <w:tcPr>
            <w:tcW w:w="7649" w:type="dxa"/>
          </w:tcPr>
          <w:p w14:paraId="354C2737" w14:textId="6F23C7FB" w:rsidR="00842ED5" w:rsidRPr="00015AC5" w:rsidRDefault="003D4A90" w:rsidP="003D4A90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Importers, exporters, port workers, small-scale traders, transporters, and logistics service providers operating along Lake Tanganyika and the Great Lakes Region.</w:t>
            </w:r>
          </w:p>
        </w:tc>
      </w:tr>
      <w:tr w:rsidR="00842ED5" w:rsidRPr="00015AC5" w14:paraId="653806F9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B9304F" w14:textId="5A329BD4" w:rsidR="00842ED5" w:rsidRPr="00015AC5" w:rsidRDefault="00842ED5" w:rsidP="00842ED5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Project Rationale (why this project matters)</w:t>
            </w:r>
          </w:p>
        </w:tc>
        <w:tc>
          <w:tcPr>
            <w:tcW w:w="7649" w:type="dxa"/>
          </w:tcPr>
          <w:p w14:paraId="6F9276BF" w14:textId="43A0281F" w:rsidR="00DE2885" w:rsidRDefault="00DE2885" w:rsidP="001509EA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proofErr w:type="spellStart"/>
            <w:r w:rsidRPr="00DE2885">
              <w:rPr>
                <w:rFonts w:cstheme="minorHAnsi"/>
                <w:sz w:val="22"/>
                <w:szCs w:val="22"/>
                <w:lang w:val="en-KE"/>
              </w:rPr>
              <w:t>Kalundu</w:t>
            </w:r>
            <w:proofErr w:type="spellEnd"/>
            <w:r w:rsidRPr="00DE2885">
              <w:rPr>
                <w:rFonts w:cstheme="minorHAnsi"/>
                <w:sz w:val="22"/>
                <w:szCs w:val="22"/>
                <w:lang w:val="en-KE"/>
              </w:rPr>
              <w:t xml:space="preserve"> Port, located in </w:t>
            </w:r>
            <w:proofErr w:type="spellStart"/>
            <w:r w:rsidRPr="00DE2885">
              <w:rPr>
                <w:rFonts w:cstheme="minorHAnsi"/>
                <w:sz w:val="22"/>
                <w:szCs w:val="22"/>
                <w:lang w:val="en-KE"/>
              </w:rPr>
              <w:t>Uvira</w:t>
            </w:r>
            <w:proofErr w:type="spellEnd"/>
            <w:r w:rsidRPr="00DE2885">
              <w:rPr>
                <w:rFonts w:cstheme="minorHAnsi"/>
                <w:sz w:val="22"/>
                <w:szCs w:val="22"/>
                <w:lang w:val="en-KE"/>
              </w:rPr>
              <w:t>, South Kivu Province, is one of the DRC’s most important inland waterway ports and a vital gateway for trade through Lake Tanganyika</w:t>
            </w:r>
            <w:r w:rsidR="001509EA">
              <w:rPr>
                <w:rFonts w:cstheme="minorHAnsi"/>
                <w:sz w:val="22"/>
                <w:szCs w:val="22"/>
                <w:lang w:val="en-KE"/>
              </w:rPr>
              <w:t xml:space="preserve"> carrying approximately 40 000 metric </w:t>
            </w:r>
            <w:proofErr w:type="spellStart"/>
            <w:r w:rsidR="001509EA">
              <w:rPr>
                <w:rFonts w:cstheme="minorHAnsi"/>
                <w:sz w:val="22"/>
                <w:szCs w:val="22"/>
                <w:lang w:val="en-KE"/>
              </w:rPr>
              <w:t>tonned</w:t>
            </w:r>
            <w:proofErr w:type="spellEnd"/>
            <w:r w:rsidR="001509EA">
              <w:rPr>
                <w:rFonts w:cstheme="minorHAnsi"/>
                <w:sz w:val="22"/>
                <w:szCs w:val="22"/>
                <w:lang w:val="en-KE"/>
              </w:rPr>
              <w:t xml:space="preserve"> of cargo annually</w:t>
            </w:r>
            <w:r w:rsidRPr="00DE2885">
              <w:rPr>
                <w:rFonts w:cstheme="minorHAnsi"/>
                <w:sz w:val="22"/>
                <w:szCs w:val="22"/>
                <w:lang w:val="en-KE"/>
              </w:rPr>
              <w:t>. It is the main entry point for goods into the Kivu region and an important link between eastern DRC and regional markets, particularly Burundi, Tanzania and Zambia</w:t>
            </w:r>
            <w:r w:rsidR="001509EA">
              <w:rPr>
                <w:rFonts w:cstheme="minorHAnsi"/>
                <w:sz w:val="22"/>
                <w:szCs w:val="22"/>
                <w:lang w:val="en-KE"/>
              </w:rPr>
              <w:t xml:space="preserve">. </w:t>
            </w:r>
          </w:p>
          <w:p w14:paraId="38259B44" w14:textId="77777777" w:rsidR="001509EA" w:rsidRPr="00DE2885" w:rsidRDefault="001509EA" w:rsidP="001509EA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</w:p>
          <w:p w14:paraId="777F2EEC" w14:textId="60E26490" w:rsidR="00DE2885" w:rsidRPr="00015AC5" w:rsidRDefault="00DE2885" w:rsidP="00DE288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DE2885">
              <w:rPr>
                <w:rFonts w:cstheme="minorHAnsi"/>
                <w:sz w:val="22"/>
                <w:szCs w:val="22"/>
                <w:lang w:val="en-KE"/>
              </w:rPr>
              <w:t>From the outset, one of the port’s major constraints was sedimentation at the entrance. The build-up of a sandbank made access increasingly difficult and created a high risk of vessels grounding, particularly larger ships. This reduced the port’s ability to handle traffic efficiently and undermined its role as a reliable trade corridor. At the same time, the port also suffered from shallow berths, inadequate administration and cargo clearance facilities, ageing infrastructure, and poor cargo-handling systems. Together, these challenges limited the size of vessels that could dock, increased congestion and delays, and raised the cost of operations, with significant effects on small-scale traders and communities in eastern DRC that depend on the port for access to markets.</w:t>
            </w:r>
          </w:p>
        </w:tc>
      </w:tr>
      <w:tr w:rsidR="00842ED5" w:rsidRPr="00015AC5" w14:paraId="1A4284B5" w14:textId="77777777" w:rsidTr="00D163E7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6662" w14:textId="781CC763" w:rsidR="00842ED5" w:rsidRPr="00015AC5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015AC5">
              <w:rPr>
                <w:rFonts w:eastAsia="Cambria" w:cstheme="minorHAnsi"/>
              </w:rPr>
              <w:t xml:space="preserve">Implementation Strategy </w:t>
            </w:r>
          </w:p>
        </w:tc>
        <w:tc>
          <w:tcPr>
            <w:tcW w:w="7649" w:type="dxa"/>
          </w:tcPr>
          <w:p w14:paraId="2E35951C" w14:textId="588E58B0" w:rsidR="00DE2885" w:rsidRPr="00015AC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DE2885">
              <w:rPr>
                <w:rFonts w:cstheme="minorHAnsi"/>
                <w:lang w:val="en-KE"/>
              </w:rPr>
              <w:t>The moderni</w:t>
            </w:r>
            <w:r w:rsidR="005D051A">
              <w:rPr>
                <w:rFonts w:cstheme="minorHAnsi"/>
                <w:lang w:val="en-KE"/>
              </w:rPr>
              <w:t>s</w:t>
            </w:r>
            <w:r w:rsidRPr="00DE2885">
              <w:rPr>
                <w:rFonts w:cstheme="minorHAnsi"/>
                <w:lang w:val="en-KE"/>
              </w:rPr>
              <w:t xml:space="preserve">ation of </w:t>
            </w:r>
            <w:proofErr w:type="spellStart"/>
            <w:r w:rsidRPr="00DE2885">
              <w:rPr>
                <w:rFonts w:cstheme="minorHAnsi"/>
                <w:lang w:val="en-KE"/>
              </w:rPr>
              <w:t>Kalundu</w:t>
            </w:r>
            <w:proofErr w:type="spellEnd"/>
            <w:r w:rsidRPr="00DE2885">
              <w:rPr>
                <w:rFonts w:cstheme="minorHAnsi"/>
                <w:lang w:val="en-KE"/>
              </w:rPr>
              <w:t xml:space="preserve"> Port </w:t>
            </w:r>
            <w:r w:rsidRPr="00015AC5">
              <w:rPr>
                <w:rFonts w:cstheme="minorHAnsi"/>
                <w:lang w:val="en-KE"/>
              </w:rPr>
              <w:t xml:space="preserve">was </w:t>
            </w:r>
            <w:r w:rsidRPr="00DE2885">
              <w:rPr>
                <w:rFonts w:cstheme="minorHAnsi"/>
                <w:lang w:val="en-KE"/>
              </w:rPr>
              <w:t xml:space="preserve">executed through a multi-dimensional strategy that integrates physical infrastructure upgrades, operational security, and socio-economic inclusivity. </w:t>
            </w:r>
            <w:r w:rsidRPr="00015AC5">
              <w:rPr>
                <w:rFonts w:cstheme="minorHAnsi"/>
                <w:lang w:val="en-KE"/>
              </w:rPr>
              <w:t>Three pillars were supported:</w:t>
            </w:r>
          </w:p>
          <w:p w14:paraId="2E8C1A17" w14:textId="3E81CB60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KE"/>
              </w:rPr>
            </w:pPr>
            <w:r w:rsidRPr="00015AC5">
              <w:rPr>
                <w:rFonts w:cstheme="minorHAnsi"/>
                <w:b/>
                <w:bCs/>
                <w:lang w:val="en-KE"/>
              </w:rPr>
              <w:t xml:space="preserve">Pillar 1: </w:t>
            </w:r>
            <w:r w:rsidRPr="00DE2885">
              <w:rPr>
                <w:rFonts w:cstheme="minorHAnsi"/>
                <w:b/>
                <w:bCs/>
                <w:lang w:val="en-KE"/>
              </w:rPr>
              <w:t>Infrastructure Moderni</w:t>
            </w:r>
            <w:r w:rsidRPr="00015AC5">
              <w:rPr>
                <w:rFonts w:cstheme="minorHAnsi"/>
                <w:b/>
                <w:bCs/>
                <w:lang w:val="en-KE"/>
              </w:rPr>
              <w:t>s</w:t>
            </w:r>
            <w:r w:rsidRPr="00DE2885">
              <w:rPr>
                <w:rFonts w:cstheme="minorHAnsi"/>
                <w:b/>
                <w:bCs/>
                <w:lang w:val="en-KE"/>
              </w:rPr>
              <w:t>ation and Capacity Expansion</w:t>
            </w:r>
          </w:p>
          <w:p w14:paraId="5855B584" w14:textId="77777777" w:rsidR="00DE2885" w:rsidRPr="00015AC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DE2885">
              <w:rPr>
                <w:rFonts w:cstheme="minorHAnsi"/>
                <w:lang w:val="en-KE"/>
              </w:rPr>
              <w:t xml:space="preserve">To eliminate physical bottlenecks and accommodate larger commercial </w:t>
            </w:r>
            <w:proofErr w:type="gramStart"/>
            <w:r w:rsidRPr="00DE2885">
              <w:rPr>
                <w:rFonts w:cstheme="minorHAnsi"/>
                <w:lang w:val="en-KE"/>
              </w:rPr>
              <w:t>drafts,  dredging</w:t>
            </w:r>
            <w:proofErr w:type="gramEnd"/>
            <w:r w:rsidRPr="00DE2885">
              <w:rPr>
                <w:rFonts w:cstheme="minorHAnsi"/>
                <w:lang w:val="en-KE"/>
              </w:rPr>
              <w:t xml:space="preserve"> of the port basin </w:t>
            </w:r>
            <w:r w:rsidRPr="00015AC5">
              <w:rPr>
                <w:rFonts w:cstheme="minorHAnsi"/>
                <w:lang w:val="en-KE"/>
              </w:rPr>
              <w:t>was done to</w:t>
            </w:r>
            <w:r w:rsidRPr="00DE2885">
              <w:rPr>
                <w:rFonts w:cstheme="minorHAnsi"/>
                <w:lang w:val="en-KE"/>
              </w:rPr>
              <w:t xml:space="preserve"> increase depth, allowing the handling capacity to scale from 800 to 4,000 tonnes.</w:t>
            </w:r>
            <w:r w:rsidRPr="00015AC5">
              <w:rPr>
                <w:rFonts w:cstheme="minorHAnsi"/>
                <w:lang w:val="en-KE"/>
              </w:rPr>
              <w:t xml:space="preserve"> </w:t>
            </w:r>
          </w:p>
          <w:p w14:paraId="7ECC0F42" w14:textId="57B9115E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DE2885">
              <w:rPr>
                <w:rFonts w:cstheme="minorHAnsi"/>
                <w:lang w:val="en-KE"/>
              </w:rPr>
              <w:t>Construction of two new warehouses and the refurbishment of existing storage to maximize cargo throughput</w:t>
            </w:r>
            <w:r w:rsidRPr="00015AC5">
              <w:rPr>
                <w:rFonts w:cstheme="minorHAnsi"/>
                <w:lang w:val="en-KE"/>
              </w:rPr>
              <w:t xml:space="preserve"> was completed.  </w:t>
            </w:r>
            <w:r w:rsidRPr="00DE2885">
              <w:rPr>
                <w:rFonts w:cstheme="minorHAnsi"/>
                <w:lang w:val="en-KE"/>
              </w:rPr>
              <w:t>Paving of cargo-handling areas and the installation of advanced drainage systems to ensure all-weather operational continuity and streamlined loading/unloading.</w:t>
            </w:r>
          </w:p>
          <w:p w14:paraId="3FC3833B" w14:textId="6FB23D82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KE"/>
              </w:rPr>
            </w:pPr>
            <w:r w:rsidRPr="00015AC5">
              <w:rPr>
                <w:rFonts w:cstheme="minorHAnsi"/>
                <w:b/>
                <w:bCs/>
                <w:lang w:val="en-KE"/>
              </w:rPr>
              <w:t xml:space="preserve">Pillar 2: </w:t>
            </w:r>
            <w:r w:rsidRPr="00DE2885">
              <w:rPr>
                <w:rFonts w:cstheme="minorHAnsi"/>
                <w:b/>
                <w:bCs/>
                <w:lang w:val="en-KE"/>
              </w:rPr>
              <w:t>Facility Upgrades and Operational Security</w:t>
            </w:r>
          </w:p>
          <w:p w14:paraId="638F9331" w14:textId="6CD9CE7A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DE2885">
              <w:rPr>
                <w:rFonts w:cstheme="minorHAnsi"/>
                <w:lang w:val="en-KE"/>
              </w:rPr>
              <w:t>To moderni</w:t>
            </w:r>
            <w:r w:rsidRPr="00015AC5">
              <w:rPr>
                <w:rFonts w:cstheme="minorHAnsi"/>
                <w:lang w:val="en-KE"/>
              </w:rPr>
              <w:t>s</w:t>
            </w:r>
            <w:r w:rsidRPr="00DE2885">
              <w:rPr>
                <w:rFonts w:cstheme="minorHAnsi"/>
                <w:lang w:val="en-KE"/>
              </w:rPr>
              <w:t>e administration and safeguard assets, the project implement</w:t>
            </w:r>
            <w:r w:rsidRPr="00015AC5">
              <w:rPr>
                <w:rFonts w:cstheme="minorHAnsi"/>
                <w:lang w:val="en-KE"/>
              </w:rPr>
              <w:t>ed</w:t>
            </w:r>
            <w:r w:rsidRPr="00DE2885">
              <w:rPr>
                <w:rFonts w:cstheme="minorHAnsi"/>
                <w:lang w:val="en-KE"/>
              </w:rPr>
              <w:t xml:space="preserve"> a comprehensive site-management plan</w:t>
            </w:r>
            <w:r w:rsidRPr="00015AC5">
              <w:rPr>
                <w:rFonts w:cstheme="minorHAnsi"/>
                <w:lang w:val="en-KE"/>
              </w:rPr>
              <w:t xml:space="preserve">, including: </w:t>
            </w:r>
            <w:r w:rsidRPr="00DE2885">
              <w:rPr>
                <w:rFonts w:cstheme="minorHAnsi"/>
                <w:lang w:val="en-KE"/>
              </w:rPr>
              <w:t xml:space="preserve">Construction of a modern administrative complex, including a dispensary and public sanitation facilities, to </w:t>
            </w:r>
            <w:r w:rsidRPr="00DE2885">
              <w:rPr>
                <w:rFonts w:cstheme="minorHAnsi"/>
                <w:lang w:val="en-KE"/>
              </w:rPr>
              <w:lastRenderedPageBreak/>
              <w:t>accelerate customs clearance and improve the working environment</w:t>
            </w:r>
            <w:r w:rsidRPr="00015AC5">
              <w:rPr>
                <w:rFonts w:cstheme="minorHAnsi"/>
                <w:lang w:val="en-KE"/>
              </w:rPr>
              <w:t xml:space="preserve">; </w:t>
            </w:r>
            <w:r w:rsidRPr="00DE2885">
              <w:rPr>
                <w:rFonts w:cstheme="minorHAnsi"/>
                <w:lang w:val="en-KE"/>
              </w:rPr>
              <w:t>Deployment of a high-security perimeter featuring fencing, enhanced lighting, CCTV surveillance, and controlled access points</w:t>
            </w:r>
            <w:r w:rsidRPr="00015AC5">
              <w:rPr>
                <w:rFonts w:cstheme="minorHAnsi"/>
                <w:lang w:val="en-KE"/>
              </w:rPr>
              <w:t xml:space="preserve">; </w:t>
            </w:r>
            <w:r w:rsidRPr="00DE2885">
              <w:rPr>
                <w:rFonts w:cstheme="minorHAnsi"/>
                <w:lang w:val="en-KE"/>
              </w:rPr>
              <w:t>Installation of a dedicated water tower to provide reliable services for both port operations and personnel.</w:t>
            </w:r>
          </w:p>
          <w:p w14:paraId="160EA528" w14:textId="77777777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</w:p>
          <w:p w14:paraId="4AE2A7A7" w14:textId="74103880" w:rsidR="00DE2885" w:rsidRPr="00DE2885" w:rsidRDefault="00DE2885" w:rsidP="00DE2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KE"/>
              </w:rPr>
            </w:pPr>
            <w:r w:rsidRPr="00015AC5">
              <w:rPr>
                <w:rFonts w:cstheme="minorHAnsi"/>
                <w:b/>
                <w:bCs/>
                <w:lang w:val="en-KE"/>
              </w:rPr>
              <w:t>Pillar 3:</w:t>
            </w:r>
            <w:r w:rsidRPr="00DE2885">
              <w:rPr>
                <w:rFonts w:cstheme="minorHAnsi"/>
                <w:b/>
                <w:bCs/>
                <w:lang w:val="en-KE"/>
              </w:rPr>
              <w:t xml:space="preserve"> Inclusive Stakeholder Engagement</w:t>
            </w:r>
          </w:p>
          <w:p w14:paraId="6548F3F2" w14:textId="0D94334E" w:rsidR="00DE2885" w:rsidRPr="00DE2885" w:rsidRDefault="00DE2885" w:rsidP="00015A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DE2885">
              <w:rPr>
                <w:rFonts w:cstheme="minorHAnsi"/>
                <w:lang w:val="en-KE"/>
              </w:rPr>
              <w:t>Recogni</w:t>
            </w:r>
            <w:r w:rsidRPr="00015AC5">
              <w:rPr>
                <w:rFonts w:cstheme="minorHAnsi"/>
                <w:lang w:val="en-KE"/>
              </w:rPr>
              <w:t>s</w:t>
            </w:r>
            <w:r w:rsidRPr="00DE2885">
              <w:rPr>
                <w:rFonts w:cstheme="minorHAnsi"/>
                <w:lang w:val="en-KE"/>
              </w:rPr>
              <w:t>ing the port’s role as a community lifeline, the implementation strategy extend</w:t>
            </w:r>
            <w:r w:rsidRPr="00015AC5">
              <w:rPr>
                <w:rFonts w:cstheme="minorHAnsi"/>
                <w:lang w:val="en-KE"/>
              </w:rPr>
              <w:t>ed</w:t>
            </w:r>
            <w:r w:rsidRPr="00DE2885">
              <w:rPr>
                <w:rFonts w:cstheme="minorHAnsi"/>
                <w:lang w:val="en-KE"/>
              </w:rPr>
              <w:t xml:space="preserve"> beyond physical works to ensure equitable access</w:t>
            </w:r>
            <w:r w:rsidR="00015AC5" w:rsidRPr="00015AC5">
              <w:rPr>
                <w:rFonts w:cstheme="minorHAnsi"/>
                <w:lang w:val="en-KE"/>
              </w:rPr>
              <w:t>. This included a</w:t>
            </w:r>
            <w:r w:rsidRPr="00DE2885">
              <w:rPr>
                <w:rFonts w:cstheme="minorHAnsi"/>
                <w:lang w:val="en-KE"/>
              </w:rPr>
              <w:t>ctive engagement with local stakeholders to promote the safe participation of women traders, ensuring the infrastructure serves the most vulnerable economic actors.</w:t>
            </w:r>
            <w:r w:rsidR="00015AC5" w:rsidRPr="00015AC5">
              <w:rPr>
                <w:rFonts w:cstheme="minorHAnsi"/>
                <w:lang w:val="en-KE"/>
              </w:rPr>
              <w:t xml:space="preserve"> And in support of regional integration, a</w:t>
            </w:r>
            <w:r w:rsidRPr="00DE2885">
              <w:rPr>
                <w:rFonts w:cstheme="minorHAnsi"/>
                <w:lang w:val="en-KE"/>
              </w:rPr>
              <w:t>ligning operational standards with EAC and SADC protocols to facilitate seamless cross-border trade with Burundi, Tanzania, and Zambia.</w:t>
            </w:r>
          </w:p>
          <w:p w14:paraId="1DF6A5C7" w14:textId="652F5BD2" w:rsidR="00842ED5" w:rsidRPr="00015AC5" w:rsidRDefault="00842ED5" w:rsidP="00D63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</w:p>
        </w:tc>
      </w:tr>
      <w:tr w:rsidR="005D051A" w:rsidRPr="00015AC5" w14:paraId="7E8FDFFF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4E75C3" w14:textId="64843825" w:rsidR="005D051A" w:rsidRPr="00015AC5" w:rsidRDefault="006F5D04" w:rsidP="00842ED5">
            <w:pPr>
              <w:spacing w:after="60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lastRenderedPageBreak/>
              <w:t xml:space="preserve">Emerging Results </w:t>
            </w:r>
          </w:p>
        </w:tc>
        <w:tc>
          <w:tcPr>
            <w:tcW w:w="7649" w:type="dxa"/>
          </w:tcPr>
          <w:p w14:paraId="2B08757C" w14:textId="27A93A27" w:rsidR="005D051A" w:rsidRPr="00C0574B" w:rsidRDefault="006F5D04" w:rsidP="006F5D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C0574B">
              <w:rPr>
                <w:rFonts w:cstheme="minorHAnsi"/>
              </w:rPr>
              <w:t>D</w:t>
            </w:r>
            <w:r w:rsidRPr="00C0574B">
              <w:rPr>
                <w:rFonts w:cstheme="minorHAnsi"/>
              </w:rPr>
              <w:t xml:space="preserve">redging and de-silting works </w:t>
            </w:r>
            <w:r w:rsidRPr="00C0574B">
              <w:rPr>
                <w:rFonts w:cstheme="minorHAnsi"/>
              </w:rPr>
              <w:t xml:space="preserve">led to a </w:t>
            </w:r>
            <w:r w:rsidRPr="00C0574B">
              <w:rPr>
                <w:rFonts w:cstheme="minorHAnsi"/>
              </w:rPr>
              <w:t xml:space="preserve">500% increase in port docking capacity, transitioning </w:t>
            </w:r>
            <w:proofErr w:type="spellStart"/>
            <w:r w:rsidRPr="00C0574B">
              <w:rPr>
                <w:rFonts w:cstheme="minorHAnsi"/>
              </w:rPr>
              <w:t>Kalundu</w:t>
            </w:r>
            <w:proofErr w:type="spellEnd"/>
            <w:r w:rsidRPr="00C0574B">
              <w:rPr>
                <w:rFonts w:cstheme="minorHAnsi"/>
              </w:rPr>
              <w:t xml:space="preserve"> Harbour from a restricted local quay to a high-capacity regional hub </w:t>
            </w:r>
            <w:r w:rsidR="00D12755" w:rsidRPr="00C0574B">
              <w:rPr>
                <w:rFonts w:cstheme="minorHAnsi"/>
              </w:rPr>
              <w:t xml:space="preserve">that now hosts </w:t>
            </w:r>
            <w:r w:rsidRPr="00C0574B">
              <w:rPr>
                <w:rFonts w:cstheme="minorHAnsi"/>
              </w:rPr>
              <w:t>4,000-tonne vessels, up from the previous 800-tonne limit</w:t>
            </w:r>
            <w:r w:rsidRPr="00C0574B">
              <w:rPr>
                <w:rFonts w:cstheme="minorHAnsi"/>
              </w:rPr>
              <w:t xml:space="preserve">. </w:t>
            </w:r>
          </w:p>
        </w:tc>
      </w:tr>
      <w:tr w:rsidR="00842ED5" w:rsidRPr="00015AC5" w14:paraId="20FFD379" w14:textId="77777777" w:rsidTr="00D163E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E2064" w14:textId="1A08B625" w:rsidR="00015AC5" w:rsidRPr="00015AC5" w:rsidRDefault="00015AC5" w:rsidP="00015AC5">
            <w:pPr>
              <w:spacing w:after="60"/>
              <w:rPr>
                <w:rFonts w:eastAsia="Cambria" w:cstheme="minorHAnsi"/>
              </w:rPr>
            </w:pPr>
            <w:r w:rsidRPr="00015AC5">
              <w:rPr>
                <w:rFonts w:eastAsia="Cambria" w:cstheme="minorHAnsi"/>
              </w:rPr>
              <w:t>Status: Completed and handed over to the Government in March 2024.</w:t>
            </w:r>
          </w:p>
        </w:tc>
        <w:tc>
          <w:tcPr>
            <w:tcW w:w="7649" w:type="dxa"/>
          </w:tcPr>
          <w:p w14:paraId="7566BD03" w14:textId="70C97916" w:rsidR="003D4A90" w:rsidRPr="00015AC5" w:rsidRDefault="003D4A90" w:rsidP="003D4A90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15AC5">
              <w:rPr>
                <w:rFonts w:cstheme="minorHAnsi"/>
                <w:sz w:val="22"/>
                <w:szCs w:val="22"/>
              </w:rPr>
              <w:t>Phase 1 (2018–2019): Initial dredging, warehouse construction, and installation of security fencing.</w:t>
            </w:r>
          </w:p>
          <w:p w14:paraId="016E1015" w14:textId="7C372D1C" w:rsidR="003D4A90" w:rsidRPr="00015AC5" w:rsidRDefault="003D4A90" w:rsidP="003D4A90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15AC5">
              <w:rPr>
                <w:rFonts w:cstheme="minorHAnsi"/>
                <w:sz w:val="22"/>
                <w:szCs w:val="22"/>
              </w:rPr>
              <w:t>Phase 2 (2020–2023): Completion of administrative buildings, health and sanitation facilities, warehouse restoration, lighting upgrades, and installation of a water tower.</w:t>
            </w:r>
          </w:p>
          <w:p w14:paraId="766BAFFF" w14:textId="6BCA8F91" w:rsidR="003D4A90" w:rsidRPr="00015AC5" w:rsidRDefault="003D4A90" w:rsidP="003D4A90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15AC5">
              <w:rPr>
                <w:rFonts w:cstheme="minorHAnsi"/>
                <w:sz w:val="22"/>
                <w:szCs w:val="22"/>
              </w:rPr>
              <w:t>Handover of completed works took place on 25 March 2024.</w:t>
            </w:r>
          </w:p>
          <w:p w14:paraId="7F6D5917" w14:textId="362D0B17" w:rsidR="00842ED5" w:rsidRPr="00015AC5" w:rsidRDefault="003D4A90" w:rsidP="003D4A90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15AC5">
              <w:rPr>
                <w:rFonts w:cstheme="minorHAnsi"/>
                <w:sz w:val="22"/>
                <w:szCs w:val="22"/>
              </w:rPr>
              <w:t>Ongoing planning for a sustainability phase addressing soil erosion, rising water levels, and sedimentation risks to ensure the port’s long-term operational viability.</w:t>
            </w:r>
          </w:p>
        </w:tc>
      </w:tr>
      <w:tr w:rsidR="00842ED5" w:rsidRPr="00015AC5" w14:paraId="5A3D4E36" w14:textId="77777777" w:rsidTr="00D1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5D032A" w14:textId="77777777" w:rsidR="00842ED5" w:rsidRPr="00015AC5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015AC5">
              <w:rPr>
                <w:rFonts w:eastAsia="Cambria" w:cstheme="minorHAnsi"/>
              </w:rPr>
              <w:t>Contact</w:t>
            </w:r>
          </w:p>
        </w:tc>
        <w:tc>
          <w:tcPr>
            <w:tcW w:w="7649" w:type="dxa"/>
          </w:tcPr>
          <w:p w14:paraId="75C068F3" w14:textId="06B340F7" w:rsidR="00842ED5" w:rsidRPr="00015AC5" w:rsidRDefault="008242E8" w:rsidP="008242E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kern w:val="2"/>
                <w14:ligatures w14:val="standardContextual"/>
              </w:rPr>
            </w:pPr>
            <w:r w:rsidRPr="00015AC5">
              <w:rPr>
                <w:rFonts w:cstheme="minorHAnsi"/>
                <w:kern w:val="2"/>
                <w14:ligatures w14:val="standardContextual"/>
              </w:rPr>
              <w:t>Aimé Nzoyihera</w:t>
            </w:r>
            <w:r w:rsidR="00842ED5" w:rsidRPr="00015AC5">
              <w:rPr>
                <w:rFonts w:cstheme="minorHAnsi"/>
                <w:kern w:val="2"/>
                <w14:ligatures w14:val="standardContextual"/>
              </w:rPr>
              <w:t>– County Director, D</w:t>
            </w:r>
            <w:r w:rsidRPr="00015AC5">
              <w:rPr>
                <w:rFonts w:cstheme="minorHAnsi"/>
                <w:kern w:val="2"/>
                <w14:ligatures w14:val="standardContextual"/>
              </w:rPr>
              <w:t>RC</w:t>
            </w:r>
          </w:p>
          <w:p w14:paraId="554F31FB" w14:textId="47E6521A" w:rsidR="00842ED5" w:rsidRPr="00015AC5" w:rsidRDefault="00842ED5" w:rsidP="00842E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015AC5">
              <w:rPr>
                <w:rFonts w:cstheme="minorHAnsi"/>
              </w:rPr>
              <w:t xml:space="preserve"> </w:t>
            </w:r>
            <w:proofErr w:type="gramStart"/>
            <w:r w:rsidR="00D7204C" w:rsidRPr="00015AC5">
              <w:rPr>
                <w:rFonts w:cstheme="minorHAnsi"/>
              </w:rPr>
              <w:t>Email :</w:t>
            </w:r>
            <w:proofErr w:type="gramEnd"/>
            <w:r w:rsidRPr="00015AC5">
              <w:rPr>
                <w:rFonts w:cstheme="minorHAnsi"/>
              </w:rPr>
              <w:t xml:space="preserve"> </w:t>
            </w:r>
            <w:hyperlink r:id="rId10" w:history="1">
              <w:r w:rsidR="008242E8" w:rsidRPr="00015AC5">
                <w:rPr>
                  <w:rStyle w:val="Hyperlink"/>
                  <w:rFonts w:cstheme="minorHAnsi"/>
                </w:rPr>
                <w:t>aime.nzoyihera@trademarkafrica.com</w:t>
              </w:r>
            </w:hyperlink>
            <w:r w:rsidR="008242E8" w:rsidRPr="00015AC5">
              <w:rPr>
                <w:rFonts w:cstheme="minorHAnsi"/>
              </w:rPr>
              <w:t xml:space="preserve"> </w:t>
            </w:r>
          </w:p>
        </w:tc>
      </w:tr>
    </w:tbl>
    <w:p w14:paraId="3BC90775" w14:textId="77777777" w:rsidR="006120D0" w:rsidRPr="00015AC5" w:rsidRDefault="006120D0" w:rsidP="00AF3F70">
      <w:pPr>
        <w:rPr>
          <w:rFonts w:cstheme="minorHAnsi"/>
        </w:rPr>
      </w:pPr>
    </w:p>
    <w:sectPr w:rsidR="006120D0" w:rsidRPr="00015AC5" w:rsidSect="00F238C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5599" w14:textId="77777777" w:rsidR="004D4D2E" w:rsidRPr="003D4A90" w:rsidRDefault="004D4D2E">
      <w:pPr>
        <w:spacing w:after="0" w:line="240" w:lineRule="auto"/>
      </w:pPr>
      <w:r w:rsidRPr="003D4A90">
        <w:separator/>
      </w:r>
    </w:p>
  </w:endnote>
  <w:endnote w:type="continuationSeparator" w:id="0">
    <w:p w14:paraId="426E421C" w14:textId="77777777" w:rsidR="004D4D2E" w:rsidRPr="003D4A90" w:rsidRDefault="004D4D2E">
      <w:pPr>
        <w:spacing w:after="0" w:line="240" w:lineRule="auto"/>
      </w:pPr>
      <w:r w:rsidRPr="003D4A90">
        <w:continuationSeparator/>
      </w:r>
    </w:p>
  </w:endnote>
  <w:endnote w:type="continuationNotice" w:id="1">
    <w:p w14:paraId="470FFEB7" w14:textId="77777777" w:rsidR="004D4D2E" w:rsidRPr="003D4A90" w:rsidRDefault="004D4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44A7" w14:textId="58676E1F" w:rsidR="00363729" w:rsidRPr="003D4A90" w:rsidRDefault="00462D67" w:rsidP="00462D67">
    <w:pPr>
      <w:pStyle w:val="Footer"/>
      <w:jc w:val="center"/>
    </w:pPr>
    <w:r w:rsidRPr="003D4A90">
      <w:fldChar w:fldCharType="begin"/>
    </w:r>
    <w:r w:rsidRPr="003D4A90">
      <w:instrText>PAGE   \* MERGEFORMAT</w:instrText>
    </w:r>
    <w:r w:rsidRPr="003D4A90">
      <w:fldChar w:fldCharType="separate"/>
    </w:r>
    <w:r w:rsidRPr="003D4A90">
      <w:t>1</w:t>
    </w:r>
    <w:r w:rsidRPr="003D4A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AADE" w14:textId="77777777" w:rsidR="004D4D2E" w:rsidRPr="003D4A90" w:rsidRDefault="004D4D2E">
      <w:pPr>
        <w:spacing w:after="0" w:line="240" w:lineRule="auto"/>
      </w:pPr>
      <w:r w:rsidRPr="003D4A90">
        <w:separator/>
      </w:r>
    </w:p>
  </w:footnote>
  <w:footnote w:type="continuationSeparator" w:id="0">
    <w:p w14:paraId="5CE657C2" w14:textId="77777777" w:rsidR="004D4D2E" w:rsidRPr="003D4A90" w:rsidRDefault="004D4D2E">
      <w:pPr>
        <w:spacing w:after="0" w:line="240" w:lineRule="auto"/>
      </w:pPr>
      <w:r w:rsidRPr="003D4A90">
        <w:continuationSeparator/>
      </w:r>
    </w:p>
  </w:footnote>
  <w:footnote w:type="continuationNotice" w:id="1">
    <w:p w14:paraId="1CF4E322" w14:textId="77777777" w:rsidR="004D4D2E" w:rsidRPr="003D4A90" w:rsidRDefault="004D4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B31C" w14:textId="60B50C8E" w:rsidR="00363729" w:rsidRPr="003D4A90" w:rsidRDefault="007118A9">
    <w:pPr>
      <w:pStyle w:val="Header"/>
      <w:jc w:val="right"/>
    </w:pPr>
    <w:r w:rsidRPr="003D4A90">
      <w:rPr>
        <w:noProof/>
      </w:rPr>
      <w:drawing>
        <wp:inline distT="0" distB="0" distL="0" distR="0" wp14:anchorId="1CAF9BB3" wp14:editId="28D5BF60">
          <wp:extent cx="844506" cy="720356"/>
          <wp:effectExtent l="0" t="0" r="0" b="3810"/>
          <wp:docPr id="18976562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56280" name="Picture 1897656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160" cy="73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1A"/>
    <w:multiLevelType w:val="hybridMultilevel"/>
    <w:tmpl w:val="97DC6AB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7206"/>
    <w:multiLevelType w:val="hybridMultilevel"/>
    <w:tmpl w:val="3C526B4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554D0"/>
    <w:multiLevelType w:val="multilevel"/>
    <w:tmpl w:val="CF5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32E09"/>
    <w:multiLevelType w:val="hybridMultilevel"/>
    <w:tmpl w:val="B4A0E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6CD"/>
    <w:multiLevelType w:val="hybridMultilevel"/>
    <w:tmpl w:val="A0149A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516"/>
    <w:multiLevelType w:val="multilevel"/>
    <w:tmpl w:val="BC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27AD1"/>
    <w:multiLevelType w:val="hybridMultilevel"/>
    <w:tmpl w:val="E6165596"/>
    <w:lvl w:ilvl="0" w:tplc="4620AE9E">
      <w:numFmt w:val="bullet"/>
      <w:lvlText w:val="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477EA"/>
    <w:multiLevelType w:val="hybridMultilevel"/>
    <w:tmpl w:val="2B3E4B6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20A02"/>
    <w:multiLevelType w:val="multilevel"/>
    <w:tmpl w:val="308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A1A46"/>
    <w:multiLevelType w:val="hybridMultilevel"/>
    <w:tmpl w:val="6400E2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03407"/>
    <w:multiLevelType w:val="hybridMultilevel"/>
    <w:tmpl w:val="5CC68F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B0894"/>
    <w:multiLevelType w:val="hybridMultilevel"/>
    <w:tmpl w:val="82125E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DF1775"/>
    <w:multiLevelType w:val="hybridMultilevel"/>
    <w:tmpl w:val="2D06CA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F5DAA"/>
    <w:multiLevelType w:val="hybridMultilevel"/>
    <w:tmpl w:val="3DB6D4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B911E2"/>
    <w:multiLevelType w:val="hybridMultilevel"/>
    <w:tmpl w:val="79E6FA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08A9"/>
    <w:multiLevelType w:val="multilevel"/>
    <w:tmpl w:val="C44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7E38A7"/>
    <w:multiLevelType w:val="hybridMultilevel"/>
    <w:tmpl w:val="5944FF4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0C6EFB"/>
    <w:multiLevelType w:val="hybridMultilevel"/>
    <w:tmpl w:val="988A5E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803D35"/>
    <w:multiLevelType w:val="multilevel"/>
    <w:tmpl w:val="90A6D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051CCC"/>
    <w:multiLevelType w:val="multilevel"/>
    <w:tmpl w:val="CC4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53F27"/>
    <w:multiLevelType w:val="multilevel"/>
    <w:tmpl w:val="90A6D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2F211B"/>
    <w:multiLevelType w:val="multilevel"/>
    <w:tmpl w:val="9A1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1B0FD0"/>
    <w:multiLevelType w:val="hybridMultilevel"/>
    <w:tmpl w:val="AE6E3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356FDA"/>
    <w:multiLevelType w:val="hybridMultilevel"/>
    <w:tmpl w:val="7CD21A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26CF7"/>
    <w:multiLevelType w:val="hybridMultilevel"/>
    <w:tmpl w:val="092C187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2F64A1"/>
    <w:multiLevelType w:val="hybridMultilevel"/>
    <w:tmpl w:val="76A28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376F4"/>
    <w:multiLevelType w:val="multilevel"/>
    <w:tmpl w:val="5FFA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8666D"/>
    <w:multiLevelType w:val="hybridMultilevel"/>
    <w:tmpl w:val="7BEEBE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B732F"/>
    <w:multiLevelType w:val="hybridMultilevel"/>
    <w:tmpl w:val="0D502E80"/>
    <w:lvl w:ilvl="0" w:tplc="12A6DB78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4619E"/>
    <w:multiLevelType w:val="hybridMultilevel"/>
    <w:tmpl w:val="49C69DF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3F6"/>
    <w:multiLevelType w:val="hybridMultilevel"/>
    <w:tmpl w:val="113209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3C1903"/>
    <w:multiLevelType w:val="hybridMultilevel"/>
    <w:tmpl w:val="8B688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3552B"/>
    <w:multiLevelType w:val="hybridMultilevel"/>
    <w:tmpl w:val="1E6EE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C1F62"/>
    <w:multiLevelType w:val="hybridMultilevel"/>
    <w:tmpl w:val="451238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82414"/>
    <w:multiLevelType w:val="hybridMultilevel"/>
    <w:tmpl w:val="F1E8E868"/>
    <w:lvl w:ilvl="0" w:tplc="C46A9E5E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5157B"/>
    <w:multiLevelType w:val="multilevel"/>
    <w:tmpl w:val="92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E4E0F"/>
    <w:multiLevelType w:val="hybridMultilevel"/>
    <w:tmpl w:val="D8EC5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4AE1"/>
    <w:multiLevelType w:val="multilevel"/>
    <w:tmpl w:val="AD0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AF1241"/>
    <w:multiLevelType w:val="hybridMultilevel"/>
    <w:tmpl w:val="8D58F4F4"/>
    <w:lvl w:ilvl="0" w:tplc="4620AE9E">
      <w:numFmt w:val="bullet"/>
      <w:lvlText w:val="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14144">
    <w:abstractNumId w:val="22"/>
  </w:num>
  <w:num w:numId="2" w16cid:durableId="390152176">
    <w:abstractNumId w:val="4"/>
  </w:num>
  <w:num w:numId="3" w16cid:durableId="1648590634">
    <w:abstractNumId w:val="25"/>
  </w:num>
  <w:num w:numId="4" w16cid:durableId="1815482256">
    <w:abstractNumId w:val="35"/>
  </w:num>
  <w:num w:numId="5" w16cid:durableId="799152830">
    <w:abstractNumId w:val="18"/>
  </w:num>
  <w:num w:numId="6" w16cid:durableId="1740516456">
    <w:abstractNumId w:val="30"/>
  </w:num>
  <w:num w:numId="7" w16cid:durableId="935552207">
    <w:abstractNumId w:val="21"/>
  </w:num>
  <w:num w:numId="8" w16cid:durableId="56517229">
    <w:abstractNumId w:val="26"/>
  </w:num>
  <w:num w:numId="9" w16cid:durableId="1011492222">
    <w:abstractNumId w:val="15"/>
  </w:num>
  <w:num w:numId="10" w16cid:durableId="260920905">
    <w:abstractNumId w:val="1"/>
  </w:num>
  <w:num w:numId="11" w16cid:durableId="1828201377">
    <w:abstractNumId w:val="9"/>
  </w:num>
  <w:num w:numId="12" w16cid:durableId="1261570313">
    <w:abstractNumId w:val="24"/>
  </w:num>
  <w:num w:numId="13" w16cid:durableId="544952118">
    <w:abstractNumId w:val="3"/>
  </w:num>
  <w:num w:numId="14" w16cid:durableId="722868289">
    <w:abstractNumId w:val="38"/>
  </w:num>
  <w:num w:numId="15" w16cid:durableId="1067991044">
    <w:abstractNumId w:val="6"/>
  </w:num>
  <w:num w:numId="16" w16cid:durableId="1359744579">
    <w:abstractNumId w:val="17"/>
  </w:num>
  <w:num w:numId="17" w16cid:durableId="1660964319">
    <w:abstractNumId w:val="20"/>
  </w:num>
  <w:num w:numId="18" w16cid:durableId="1035426345">
    <w:abstractNumId w:val="12"/>
  </w:num>
  <w:num w:numId="19" w16cid:durableId="1892382591">
    <w:abstractNumId w:val="8"/>
  </w:num>
  <w:num w:numId="20" w16cid:durableId="1104419555">
    <w:abstractNumId w:val="10"/>
  </w:num>
  <w:num w:numId="21" w16cid:durableId="1252352440">
    <w:abstractNumId w:val="2"/>
  </w:num>
  <w:num w:numId="22" w16cid:durableId="1751580735">
    <w:abstractNumId w:val="11"/>
  </w:num>
  <w:num w:numId="23" w16cid:durableId="1470324954">
    <w:abstractNumId w:val="5"/>
  </w:num>
  <w:num w:numId="24" w16cid:durableId="527106228">
    <w:abstractNumId w:val="7"/>
  </w:num>
  <w:num w:numId="25" w16cid:durableId="1095173789">
    <w:abstractNumId w:val="31"/>
  </w:num>
  <w:num w:numId="26" w16cid:durableId="1169439981">
    <w:abstractNumId w:val="19"/>
  </w:num>
  <w:num w:numId="27" w16cid:durableId="1613702096">
    <w:abstractNumId w:val="13"/>
  </w:num>
  <w:num w:numId="28" w16cid:durableId="1820534155">
    <w:abstractNumId w:val="36"/>
  </w:num>
  <w:num w:numId="29" w16cid:durableId="2040812667">
    <w:abstractNumId w:val="23"/>
  </w:num>
  <w:num w:numId="30" w16cid:durableId="1996253817">
    <w:abstractNumId w:val="34"/>
  </w:num>
  <w:num w:numId="31" w16cid:durableId="1234004697">
    <w:abstractNumId w:val="0"/>
  </w:num>
  <w:num w:numId="32" w16cid:durableId="1007176046">
    <w:abstractNumId w:val="27"/>
  </w:num>
  <w:num w:numId="33" w16cid:durableId="1649625834">
    <w:abstractNumId w:val="16"/>
  </w:num>
  <w:num w:numId="34" w16cid:durableId="2091542727">
    <w:abstractNumId w:val="33"/>
  </w:num>
  <w:num w:numId="35" w16cid:durableId="749891181">
    <w:abstractNumId w:val="28"/>
  </w:num>
  <w:num w:numId="36" w16cid:durableId="144782331">
    <w:abstractNumId w:val="29"/>
  </w:num>
  <w:num w:numId="37" w16cid:durableId="1104567714">
    <w:abstractNumId w:val="32"/>
  </w:num>
  <w:num w:numId="38" w16cid:durableId="1161239170">
    <w:abstractNumId w:val="14"/>
  </w:num>
  <w:num w:numId="39" w16cid:durableId="4766054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96"/>
    <w:rsid w:val="00015AC5"/>
    <w:rsid w:val="000163E1"/>
    <w:rsid w:val="00021A51"/>
    <w:rsid w:val="00035F2E"/>
    <w:rsid w:val="000420E1"/>
    <w:rsid w:val="0005658A"/>
    <w:rsid w:val="0005703D"/>
    <w:rsid w:val="0007530C"/>
    <w:rsid w:val="00097E8E"/>
    <w:rsid w:val="000A3A85"/>
    <w:rsid w:val="000B43D7"/>
    <w:rsid w:val="000B4DFF"/>
    <w:rsid w:val="000D73B5"/>
    <w:rsid w:val="000F3DDD"/>
    <w:rsid w:val="00112003"/>
    <w:rsid w:val="001509EA"/>
    <w:rsid w:val="00170EE6"/>
    <w:rsid w:val="00171FBC"/>
    <w:rsid w:val="001959DF"/>
    <w:rsid w:val="001A0AD7"/>
    <w:rsid w:val="001A48F5"/>
    <w:rsid w:val="002007A8"/>
    <w:rsid w:val="00225924"/>
    <w:rsid w:val="00227356"/>
    <w:rsid w:val="00232849"/>
    <w:rsid w:val="002578FD"/>
    <w:rsid w:val="00262271"/>
    <w:rsid w:val="00267E51"/>
    <w:rsid w:val="002A48F0"/>
    <w:rsid w:val="002C48B4"/>
    <w:rsid w:val="002E7DA4"/>
    <w:rsid w:val="00305EA8"/>
    <w:rsid w:val="00314E92"/>
    <w:rsid w:val="0032722A"/>
    <w:rsid w:val="00340D75"/>
    <w:rsid w:val="00343986"/>
    <w:rsid w:val="003475D8"/>
    <w:rsid w:val="00363729"/>
    <w:rsid w:val="00365060"/>
    <w:rsid w:val="0038074A"/>
    <w:rsid w:val="003A126B"/>
    <w:rsid w:val="003A3A82"/>
    <w:rsid w:val="003B4907"/>
    <w:rsid w:val="003C6713"/>
    <w:rsid w:val="003D4A90"/>
    <w:rsid w:val="00403260"/>
    <w:rsid w:val="00412D52"/>
    <w:rsid w:val="00414E75"/>
    <w:rsid w:val="00423E2D"/>
    <w:rsid w:val="004445EC"/>
    <w:rsid w:val="00450D39"/>
    <w:rsid w:val="00462D67"/>
    <w:rsid w:val="00465430"/>
    <w:rsid w:val="00470C37"/>
    <w:rsid w:val="00485513"/>
    <w:rsid w:val="00493DB9"/>
    <w:rsid w:val="004A3EB4"/>
    <w:rsid w:val="004C0A74"/>
    <w:rsid w:val="004D4D2E"/>
    <w:rsid w:val="004E55DF"/>
    <w:rsid w:val="00526746"/>
    <w:rsid w:val="00581B21"/>
    <w:rsid w:val="00591A27"/>
    <w:rsid w:val="00593617"/>
    <w:rsid w:val="00597E59"/>
    <w:rsid w:val="005A6DBC"/>
    <w:rsid w:val="005B534B"/>
    <w:rsid w:val="005B7F72"/>
    <w:rsid w:val="005D051A"/>
    <w:rsid w:val="005F0278"/>
    <w:rsid w:val="005F124B"/>
    <w:rsid w:val="00601554"/>
    <w:rsid w:val="006120D0"/>
    <w:rsid w:val="00632588"/>
    <w:rsid w:val="0063386D"/>
    <w:rsid w:val="006529A5"/>
    <w:rsid w:val="00655282"/>
    <w:rsid w:val="00666E59"/>
    <w:rsid w:val="006D0316"/>
    <w:rsid w:val="006F1C40"/>
    <w:rsid w:val="006F5D04"/>
    <w:rsid w:val="00704856"/>
    <w:rsid w:val="007118A9"/>
    <w:rsid w:val="00716564"/>
    <w:rsid w:val="007260D2"/>
    <w:rsid w:val="00740458"/>
    <w:rsid w:val="0077781E"/>
    <w:rsid w:val="007945E0"/>
    <w:rsid w:val="007B20AC"/>
    <w:rsid w:val="007D1B33"/>
    <w:rsid w:val="007D6A39"/>
    <w:rsid w:val="00810823"/>
    <w:rsid w:val="008242E8"/>
    <w:rsid w:val="00842ED5"/>
    <w:rsid w:val="0084314F"/>
    <w:rsid w:val="00875285"/>
    <w:rsid w:val="008810ED"/>
    <w:rsid w:val="00896702"/>
    <w:rsid w:val="008B22A2"/>
    <w:rsid w:val="008D1606"/>
    <w:rsid w:val="008D339B"/>
    <w:rsid w:val="008D3BA7"/>
    <w:rsid w:val="008D3BE8"/>
    <w:rsid w:val="008E3FC9"/>
    <w:rsid w:val="008F7742"/>
    <w:rsid w:val="0090222B"/>
    <w:rsid w:val="00904085"/>
    <w:rsid w:val="00907571"/>
    <w:rsid w:val="009217E2"/>
    <w:rsid w:val="0092350F"/>
    <w:rsid w:val="009264E1"/>
    <w:rsid w:val="009563E2"/>
    <w:rsid w:val="00957029"/>
    <w:rsid w:val="0096050A"/>
    <w:rsid w:val="00964B46"/>
    <w:rsid w:val="009970CB"/>
    <w:rsid w:val="009A3E6C"/>
    <w:rsid w:val="009B13B6"/>
    <w:rsid w:val="009C0D61"/>
    <w:rsid w:val="009C767C"/>
    <w:rsid w:val="00A31066"/>
    <w:rsid w:val="00A42E4A"/>
    <w:rsid w:val="00A440D7"/>
    <w:rsid w:val="00A52281"/>
    <w:rsid w:val="00A67C5F"/>
    <w:rsid w:val="00A749ED"/>
    <w:rsid w:val="00A755EE"/>
    <w:rsid w:val="00AB1BC7"/>
    <w:rsid w:val="00AF3F70"/>
    <w:rsid w:val="00B367B6"/>
    <w:rsid w:val="00B46920"/>
    <w:rsid w:val="00B6115F"/>
    <w:rsid w:val="00B61311"/>
    <w:rsid w:val="00B70801"/>
    <w:rsid w:val="00B7390D"/>
    <w:rsid w:val="00B810D4"/>
    <w:rsid w:val="00B92B35"/>
    <w:rsid w:val="00BA00EA"/>
    <w:rsid w:val="00BA0EC5"/>
    <w:rsid w:val="00BB4E70"/>
    <w:rsid w:val="00BD5336"/>
    <w:rsid w:val="00C0574B"/>
    <w:rsid w:val="00C143E7"/>
    <w:rsid w:val="00C301AE"/>
    <w:rsid w:val="00C70588"/>
    <w:rsid w:val="00C72211"/>
    <w:rsid w:val="00C87D99"/>
    <w:rsid w:val="00C93989"/>
    <w:rsid w:val="00CB2071"/>
    <w:rsid w:val="00CB3EAF"/>
    <w:rsid w:val="00CB74E1"/>
    <w:rsid w:val="00CD52C8"/>
    <w:rsid w:val="00CE10CA"/>
    <w:rsid w:val="00D06AD3"/>
    <w:rsid w:val="00D12755"/>
    <w:rsid w:val="00D163E7"/>
    <w:rsid w:val="00D235B9"/>
    <w:rsid w:val="00D31AA0"/>
    <w:rsid w:val="00D34367"/>
    <w:rsid w:val="00D4604C"/>
    <w:rsid w:val="00D57CC2"/>
    <w:rsid w:val="00D63DA7"/>
    <w:rsid w:val="00D7204C"/>
    <w:rsid w:val="00D73C63"/>
    <w:rsid w:val="00D743F6"/>
    <w:rsid w:val="00DB467B"/>
    <w:rsid w:val="00DE2885"/>
    <w:rsid w:val="00DE4FE8"/>
    <w:rsid w:val="00DF7D7C"/>
    <w:rsid w:val="00E055B4"/>
    <w:rsid w:val="00E20185"/>
    <w:rsid w:val="00E37D48"/>
    <w:rsid w:val="00E40441"/>
    <w:rsid w:val="00E42BC9"/>
    <w:rsid w:val="00E475BC"/>
    <w:rsid w:val="00E655F4"/>
    <w:rsid w:val="00E71091"/>
    <w:rsid w:val="00E74177"/>
    <w:rsid w:val="00E741F3"/>
    <w:rsid w:val="00EA49F6"/>
    <w:rsid w:val="00EC4DAC"/>
    <w:rsid w:val="00EC5423"/>
    <w:rsid w:val="00EF69AE"/>
    <w:rsid w:val="00F238C9"/>
    <w:rsid w:val="00F3444D"/>
    <w:rsid w:val="00F40A8C"/>
    <w:rsid w:val="00F511DC"/>
    <w:rsid w:val="00FA7F74"/>
    <w:rsid w:val="00FC0C96"/>
    <w:rsid w:val="00FE3A12"/>
    <w:rsid w:val="00FE577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5349"/>
  <w15:chartTrackingRefBased/>
  <w15:docId w15:val="{27E70085-FB79-4FFF-B60D-6F0F3667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E8"/>
  </w:style>
  <w:style w:type="paragraph" w:styleId="Footer">
    <w:name w:val="footer"/>
    <w:basedOn w:val="Normal"/>
    <w:link w:val="Foot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E8"/>
  </w:style>
  <w:style w:type="table" w:styleId="TableGrid">
    <w:name w:val="Table Grid"/>
    <w:basedOn w:val="TableNormal"/>
    <w:uiPriority w:val="39"/>
    <w:rsid w:val="000D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0D4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C143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E404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2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59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7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72"/>
    <w:rPr>
      <w:vertAlign w:val="superscript"/>
    </w:rPr>
  </w:style>
  <w:style w:type="character" w:styleId="Strong">
    <w:name w:val="Strong"/>
    <w:basedOn w:val="DefaultParagraphFont"/>
    <w:uiPriority w:val="22"/>
    <w:qFormat/>
    <w:rsid w:val="00232849"/>
    <w:rPr>
      <w:b/>
      <w:bCs/>
    </w:rPr>
  </w:style>
  <w:style w:type="paragraph" w:styleId="Revision">
    <w:name w:val="Revision"/>
    <w:hidden/>
    <w:uiPriority w:val="99"/>
    <w:semiHidden/>
    <w:rsid w:val="001A0AD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70E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EE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NoSpacing">
    <w:name w:val="No Spacing"/>
    <w:uiPriority w:val="1"/>
    <w:qFormat/>
    <w:rsid w:val="00170EE6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me.nzoyihera@trademarkafr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14FA8FC0B9A42B38847B854648B6C" ma:contentTypeVersion="12" ma:contentTypeDescription="Create a new document." ma:contentTypeScope="" ma:versionID="2c9dbb6d4a53cc8511d2d68d3a69fb29">
  <xsd:schema xmlns:xsd="http://www.w3.org/2001/XMLSchema" xmlns:xs="http://www.w3.org/2001/XMLSchema" xmlns:p="http://schemas.microsoft.com/office/2006/metadata/properties" xmlns:ns2="c04d6b4f-33d1-4524-a8de-e451403a781e" xmlns:ns3="c458650c-5ef3-4079-ab6e-5d9208a6729c" targetNamespace="http://schemas.microsoft.com/office/2006/metadata/properties" ma:root="true" ma:fieldsID="fb6302cdca5c638de6d8fed2271b2c12" ns2:_="" ns3:_="">
    <xsd:import namespace="c04d6b4f-33d1-4524-a8de-e451403a781e"/>
    <xsd:import namespace="c458650c-5ef3-4079-ab6e-5d9208a6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6b4f-33d1-4524-a8de-e451403a7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7d0c54-adc9-496d-8ad3-b484b43a4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8650c-5ef3-4079-ab6e-5d9208a672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978d2b-b997-408a-9508-f5f562d5f164}" ma:internalName="TaxCatchAll" ma:showField="CatchAllData" ma:web="c458650c-5ef3-4079-ab6e-5d9208a6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d6b4f-33d1-4524-a8de-e451403a781e">
      <Terms xmlns="http://schemas.microsoft.com/office/infopath/2007/PartnerControls"/>
    </lcf76f155ced4ddcb4097134ff3c332f>
    <TaxCatchAll xmlns="c458650c-5ef3-4079-ab6e-5d9208a672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FDB1B-5151-4CA1-B439-1EFC5AAC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d6b4f-33d1-4524-a8de-e451403a781e"/>
    <ds:schemaRef ds:uri="c458650c-5ef3-4079-ab6e-5d9208a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35B0B-3EA8-458D-8281-32A0ABA07C15}">
  <ds:schemaRefs>
    <ds:schemaRef ds:uri="http://schemas.microsoft.com/office/2006/metadata/properties"/>
    <ds:schemaRef ds:uri="http://schemas.microsoft.com/office/infopath/2007/PartnerControls"/>
    <ds:schemaRef ds:uri="c04d6b4f-33d1-4524-a8de-e451403a781e"/>
    <ds:schemaRef ds:uri="c458650c-5ef3-4079-ab6e-5d9208a6729c"/>
  </ds:schemaRefs>
</ds:datastoreItem>
</file>

<file path=customXml/itemProps3.xml><?xml version="1.0" encoding="utf-8"?>
<ds:datastoreItem xmlns:ds="http://schemas.openxmlformats.org/officeDocument/2006/customXml" ds:itemID="{BF404412-B626-4409-9E85-23F9502A2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4122</Characters>
  <Application>Microsoft Office Word</Application>
  <DocSecurity>0</DocSecurity>
  <Lines>137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Sylviah Luseno</dc:creator>
  <cp:keywords/>
  <dc:description/>
  <cp:lastModifiedBy>Shiro Mbiruru</cp:lastModifiedBy>
  <cp:revision>2</cp:revision>
  <dcterms:created xsi:type="dcterms:W3CDTF">2026-04-19T11:06:00Z</dcterms:created>
  <dcterms:modified xsi:type="dcterms:W3CDTF">2026-04-19T11:06:00Z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9e0983-05e3-46a0-b893-ff28b8cf1441_Enabled">
    <vt:lpwstr>true</vt:lpwstr>
  </property>
  <property fmtid="{D5CDD505-2E9C-101B-9397-08002B2CF9AE}" pid="3" name="MSIP_Label_589e0983-05e3-46a0-b893-ff28b8cf1441_SetDate">
    <vt:lpwstr>2024-05-02T06:25:45Z</vt:lpwstr>
  </property>
  <property fmtid="{D5CDD505-2E9C-101B-9397-08002B2CF9AE}" pid="4" name="MSIP_Label_589e0983-05e3-46a0-b893-ff28b8cf1441_Method">
    <vt:lpwstr>Standard</vt:lpwstr>
  </property>
  <property fmtid="{D5CDD505-2E9C-101B-9397-08002B2CF9AE}" pid="5" name="MSIP_Label_589e0983-05e3-46a0-b893-ff28b8cf1441_Name">
    <vt:lpwstr>TMEA Public</vt:lpwstr>
  </property>
  <property fmtid="{D5CDD505-2E9C-101B-9397-08002B2CF9AE}" pid="6" name="MSIP_Label_589e0983-05e3-46a0-b893-ff28b8cf1441_SiteId">
    <vt:lpwstr>71dd2498-0b95-4eb5-8b08-940c9ea4bfb8</vt:lpwstr>
  </property>
  <property fmtid="{D5CDD505-2E9C-101B-9397-08002B2CF9AE}" pid="7" name="MSIP_Label_589e0983-05e3-46a0-b893-ff28b8cf1441_ActionId">
    <vt:lpwstr>4e8e94d5-9170-4d6e-a6e2-4fa4bcf6d326</vt:lpwstr>
  </property>
  <property fmtid="{D5CDD505-2E9C-101B-9397-08002B2CF9AE}" pid="8" name="MSIP_Label_589e0983-05e3-46a0-b893-ff28b8cf1441_ContentBits">
    <vt:lpwstr>0</vt:lpwstr>
  </property>
  <property fmtid="{D5CDD505-2E9C-101B-9397-08002B2CF9AE}" pid="9" name="ContentTypeId">
    <vt:lpwstr>0x010100A7C14FA8FC0B9A42B38847B854648B6C</vt:lpwstr>
  </property>
</Properties>
</file>