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10201" w:type="dxa"/>
        <w:tblLook w:val="04A0" w:firstRow="1" w:lastRow="0" w:firstColumn="1" w:lastColumn="0" w:noHBand="0" w:noVBand="1"/>
      </w:tblPr>
      <w:tblGrid>
        <w:gridCol w:w="1696"/>
        <w:gridCol w:w="8505"/>
      </w:tblGrid>
      <w:tr w:rsidR="000D73B5" w:rsidRPr="007C69AF" w14:paraId="26C63C31" w14:textId="77777777" w:rsidTr="007A037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7C6B56A5" w14:textId="7973766F" w:rsidR="000D73B5" w:rsidRPr="007C69AF" w:rsidRDefault="005778B2" w:rsidP="00303B11">
            <w:pPr>
              <w:pStyle w:val="NoSpacing"/>
              <w:rPr>
                <w:rFonts w:cstheme="minorHAnsi"/>
                <w:sz w:val="22"/>
                <w:szCs w:val="22"/>
              </w:rPr>
            </w:pPr>
            <w:r w:rsidRPr="007C69AF">
              <w:rPr>
                <w:rFonts w:cstheme="minorHAnsi"/>
                <w:sz w:val="22"/>
                <w:szCs w:val="22"/>
              </w:rPr>
              <w:t>Programme</w:t>
            </w:r>
            <w:r w:rsidR="00305F0A" w:rsidRPr="007C69AF">
              <w:rPr>
                <w:rFonts w:cstheme="minorHAnsi"/>
                <w:sz w:val="22"/>
                <w:szCs w:val="22"/>
              </w:rPr>
              <w:t xml:space="preserve"> Title</w:t>
            </w:r>
          </w:p>
        </w:tc>
        <w:tc>
          <w:tcPr>
            <w:tcW w:w="8505" w:type="dxa"/>
          </w:tcPr>
          <w:p w14:paraId="3CE7E197" w14:textId="4D88A7EB" w:rsidR="000D73B5" w:rsidRPr="007C69AF" w:rsidRDefault="0047331E" w:rsidP="0047331E">
            <w:pPr>
              <w:pStyle w:val="NoSpacing"/>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7C69AF">
              <w:rPr>
                <w:rFonts w:cstheme="minorHAnsi"/>
                <w:sz w:val="22"/>
                <w:szCs w:val="22"/>
              </w:rPr>
              <w:t>Lobito Corridor Trade Facilitation Programme</w:t>
            </w:r>
          </w:p>
        </w:tc>
      </w:tr>
      <w:tr w:rsidR="000D73B5" w:rsidRPr="007C69AF" w14:paraId="22C901C5" w14:textId="77777777" w:rsidTr="007A037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96" w:type="dxa"/>
          </w:tcPr>
          <w:p w14:paraId="1582DF29" w14:textId="030C7E37" w:rsidR="000D73B5" w:rsidRPr="007C69AF" w:rsidRDefault="00E741F3" w:rsidP="00303B11">
            <w:pPr>
              <w:pStyle w:val="NoSpacing"/>
              <w:rPr>
                <w:rFonts w:cstheme="minorHAnsi"/>
                <w:sz w:val="22"/>
                <w:szCs w:val="22"/>
              </w:rPr>
            </w:pPr>
            <w:r w:rsidRPr="007C69AF">
              <w:rPr>
                <w:rFonts w:cstheme="minorHAnsi"/>
                <w:sz w:val="22"/>
                <w:szCs w:val="22"/>
              </w:rPr>
              <w:t>Project Leads</w:t>
            </w:r>
          </w:p>
        </w:tc>
        <w:tc>
          <w:tcPr>
            <w:tcW w:w="8505" w:type="dxa"/>
          </w:tcPr>
          <w:p w14:paraId="6EF4FF4C" w14:textId="13C60DEA" w:rsidR="000D73B5" w:rsidRPr="007C69AF" w:rsidRDefault="00472080" w:rsidP="0047331E">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7C69AF">
              <w:rPr>
                <w:rFonts w:cstheme="minorHAnsi"/>
                <w:sz w:val="22"/>
                <w:szCs w:val="22"/>
              </w:rPr>
              <w:t>TMA</w:t>
            </w:r>
            <w:r w:rsidR="0047331E" w:rsidRPr="007C69AF">
              <w:rPr>
                <w:rFonts w:cstheme="minorHAnsi"/>
                <w:sz w:val="22"/>
                <w:szCs w:val="22"/>
              </w:rPr>
              <w:t xml:space="preserve"> in partnership with the Governments of the D</w:t>
            </w:r>
            <w:r w:rsidRPr="007C69AF">
              <w:rPr>
                <w:rFonts w:cstheme="minorHAnsi"/>
                <w:sz w:val="22"/>
                <w:szCs w:val="22"/>
              </w:rPr>
              <w:t xml:space="preserve">RC, </w:t>
            </w:r>
            <w:r w:rsidR="0047331E" w:rsidRPr="007C69AF">
              <w:rPr>
                <w:rFonts w:cstheme="minorHAnsi"/>
                <w:sz w:val="22"/>
                <w:szCs w:val="22"/>
              </w:rPr>
              <w:t>Angola and Zambia</w:t>
            </w:r>
          </w:p>
          <w:p w14:paraId="58B7EB41" w14:textId="50211EDA" w:rsidR="0047331E" w:rsidRPr="007C69AF" w:rsidRDefault="0047331E" w:rsidP="0047331E">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040254" w:rsidRPr="007C69AF" w14:paraId="2C81A430" w14:textId="77777777" w:rsidTr="007A037A">
        <w:trPr>
          <w:trHeight w:val="350"/>
        </w:trPr>
        <w:tc>
          <w:tcPr>
            <w:cnfStyle w:val="001000000000" w:firstRow="0" w:lastRow="0" w:firstColumn="1" w:lastColumn="0" w:oddVBand="0" w:evenVBand="0" w:oddHBand="0" w:evenHBand="0" w:firstRowFirstColumn="0" w:firstRowLastColumn="0" w:lastRowFirstColumn="0" w:lastRowLastColumn="0"/>
            <w:tcW w:w="1696" w:type="dxa"/>
          </w:tcPr>
          <w:p w14:paraId="046E0940" w14:textId="440A6350" w:rsidR="00040254" w:rsidRPr="007C69AF" w:rsidRDefault="00040254" w:rsidP="00303B11">
            <w:pPr>
              <w:pStyle w:val="NoSpacing"/>
              <w:rPr>
                <w:rFonts w:cstheme="minorHAnsi"/>
                <w:sz w:val="22"/>
                <w:szCs w:val="22"/>
              </w:rPr>
            </w:pPr>
            <w:r w:rsidRPr="007C69AF">
              <w:rPr>
                <w:rFonts w:cstheme="minorHAnsi"/>
                <w:sz w:val="22"/>
                <w:szCs w:val="22"/>
              </w:rPr>
              <w:t xml:space="preserve">Funding </w:t>
            </w:r>
          </w:p>
        </w:tc>
        <w:tc>
          <w:tcPr>
            <w:tcW w:w="8505" w:type="dxa"/>
          </w:tcPr>
          <w:p w14:paraId="0C657D39" w14:textId="7108A081" w:rsidR="00040254" w:rsidRPr="007C69AF" w:rsidRDefault="0047331E" w:rsidP="0047331E">
            <w:pPr>
              <w:pStyle w:val="No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C69AF">
              <w:rPr>
                <w:rFonts w:cstheme="minorHAnsi"/>
                <w:sz w:val="22"/>
                <w:szCs w:val="22"/>
              </w:rPr>
              <w:t>European Union</w:t>
            </w:r>
            <w:r w:rsidR="007A037A" w:rsidRPr="007C69AF">
              <w:rPr>
                <w:rFonts w:cstheme="minorHAnsi"/>
                <w:sz w:val="22"/>
                <w:szCs w:val="22"/>
              </w:rPr>
              <w:t xml:space="preserve"> through the</w:t>
            </w:r>
            <w:r w:rsidRPr="007C69AF">
              <w:rPr>
                <w:rFonts w:cstheme="minorHAnsi"/>
                <w:sz w:val="22"/>
                <w:szCs w:val="22"/>
              </w:rPr>
              <w:t xml:space="preserve"> Global Gateway Initiative</w:t>
            </w:r>
          </w:p>
        </w:tc>
      </w:tr>
      <w:tr w:rsidR="00040254" w:rsidRPr="007C69AF" w14:paraId="0843FA7D" w14:textId="77777777" w:rsidTr="007A037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96" w:type="dxa"/>
          </w:tcPr>
          <w:p w14:paraId="14559E4A" w14:textId="5DDAE5C0" w:rsidR="00040254" w:rsidRPr="007C69AF" w:rsidRDefault="00040254" w:rsidP="00303B11">
            <w:pPr>
              <w:pStyle w:val="NoSpacing"/>
              <w:rPr>
                <w:rFonts w:cstheme="minorHAnsi"/>
                <w:sz w:val="22"/>
                <w:szCs w:val="22"/>
              </w:rPr>
            </w:pPr>
            <w:r w:rsidRPr="007C69AF">
              <w:rPr>
                <w:rFonts w:cstheme="minorHAnsi"/>
                <w:sz w:val="22"/>
                <w:szCs w:val="22"/>
              </w:rPr>
              <w:t>Value (in EUR)</w:t>
            </w:r>
          </w:p>
        </w:tc>
        <w:tc>
          <w:tcPr>
            <w:tcW w:w="8505" w:type="dxa"/>
          </w:tcPr>
          <w:p w14:paraId="5F5A26B5" w14:textId="1C6F19E9" w:rsidR="00040254" w:rsidRPr="007C69AF" w:rsidRDefault="00040254" w:rsidP="00303B11">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7C69AF">
              <w:rPr>
                <w:rFonts w:cstheme="minorHAnsi"/>
                <w:sz w:val="22"/>
                <w:szCs w:val="22"/>
              </w:rPr>
              <w:t>€</w:t>
            </w:r>
            <w:r w:rsidR="0047331E" w:rsidRPr="007C69AF">
              <w:rPr>
                <w:rFonts w:cstheme="minorHAnsi"/>
                <w:sz w:val="22"/>
                <w:szCs w:val="22"/>
              </w:rPr>
              <w:t>6</w:t>
            </w:r>
            <w:r w:rsidRPr="007C69AF">
              <w:rPr>
                <w:rFonts w:cstheme="minorHAnsi"/>
                <w:sz w:val="22"/>
                <w:szCs w:val="22"/>
              </w:rPr>
              <w:t xml:space="preserve"> million</w:t>
            </w:r>
          </w:p>
          <w:p w14:paraId="33A62771" w14:textId="1C040CBD" w:rsidR="00040254" w:rsidRPr="007C69AF" w:rsidRDefault="00040254" w:rsidP="00303B11">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040254" w:rsidRPr="007C69AF" w14:paraId="6D32B0E5" w14:textId="77777777" w:rsidTr="007A037A">
        <w:trPr>
          <w:trHeight w:val="614"/>
        </w:trPr>
        <w:tc>
          <w:tcPr>
            <w:cnfStyle w:val="001000000000" w:firstRow="0" w:lastRow="0" w:firstColumn="1" w:lastColumn="0" w:oddVBand="0" w:evenVBand="0" w:oddHBand="0" w:evenHBand="0" w:firstRowFirstColumn="0" w:firstRowLastColumn="0" w:lastRowFirstColumn="0" w:lastRowLastColumn="0"/>
            <w:tcW w:w="1696" w:type="dxa"/>
          </w:tcPr>
          <w:p w14:paraId="32ED381F" w14:textId="398D07C4" w:rsidR="00040254" w:rsidRPr="007C69AF" w:rsidRDefault="00040254" w:rsidP="00303B11">
            <w:pPr>
              <w:pStyle w:val="NoSpacing"/>
              <w:rPr>
                <w:rFonts w:cstheme="minorHAnsi"/>
                <w:sz w:val="22"/>
                <w:szCs w:val="22"/>
              </w:rPr>
            </w:pPr>
            <w:r w:rsidRPr="007C69AF">
              <w:rPr>
                <w:rFonts w:cstheme="minorHAnsi"/>
                <w:sz w:val="22"/>
                <w:szCs w:val="22"/>
              </w:rPr>
              <w:t>Implementation Period</w:t>
            </w:r>
          </w:p>
        </w:tc>
        <w:tc>
          <w:tcPr>
            <w:tcW w:w="8505" w:type="dxa"/>
          </w:tcPr>
          <w:p w14:paraId="518EC544" w14:textId="36956B42" w:rsidR="00040254" w:rsidRPr="007C69AF" w:rsidRDefault="00040254" w:rsidP="00303B11">
            <w:pPr>
              <w:pStyle w:val="No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C69AF">
              <w:rPr>
                <w:rFonts w:cstheme="minorHAnsi"/>
                <w:sz w:val="22"/>
                <w:szCs w:val="22"/>
              </w:rPr>
              <w:t>202</w:t>
            </w:r>
            <w:r w:rsidR="0047331E" w:rsidRPr="007C69AF">
              <w:rPr>
                <w:rFonts w:cstheme="minorHAnsi"/>
                <w:sz w:val="22"/>
                <w:szCs w:val="22"/>
              </w:rPr>
              <w:t>6</w:t>
            </w:r>
            <w:r w:rsidR="007A037A" w:rsidRPr="007C69AF">
              <w:rPr>
                <w:rFonts w:cstheme="minorHAnsi"/>
                <w:sz w:val="22"/>
                <w:szCs w:val="22"/>
              </w:rPr>
              <w:t>-</w:t>
            </w:r>
            <w:r w:rsidRPr="007C69AF">
              <w:rPr>
                <w:rFonts w:cstheme="minorHAnsi"/>
                <w:sz w:val="22"/>
                <w:szCs w:val="22"/>
              </w:rPr>
              <w:t>202</w:t>
            </w:r>
            <w:r w:rsidR="0047331E" w:rsidRPr="007C69AF">
              <w:rPr>
                <w:rFonts w:cstheme="minorHAnsi"/>
                <w:sz w:val="22"/>
                <w:szCs w:val="22"/>
              </w:rPr>
              <w:t>8</w:t>
            </w:r>
          </w:p>
        </w:tc>
      </w:tr>
      <w:tr w:rsidR="00040254" w:rsidRPr="007C69AF" w14:paraId="2B185DB8" w14:textId="77777777" w:rsidTr="007A037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96" w:type="dxa"/>
          </w:tcPr>
          <w:p w14:paraId="21762BEA" w14:textId="73A7AFE9" w:rsidR="00040254" w:rsidRPr="007C69AF" w:rsidRDefault="00040254" w:rsidP="00303B11">
            <w:pPr>
              <w:pStyle w:val="NoSpacing"/>
              <w:rPr>
                <w:rFonts w:cstheme="minorHAnsi"/>
                <w:sz w:val="22"/>
                <w:szCs w:val="22"/>
              </w:rPr>
            </w:pPr>
            <w:r w:rsidRPr="007C69AF">
              <w:rPr>
                <w:rFonts w:cstheme="minorHAnsi"/>
                <w:sz w:val="22"/>
                <w:szCs w:val="22"/>
              </w:rPr>
              <w:t>Project Partners</w:t>
            </w:r>
          </w:p>
        </w:tc>
        <w:tc>
          <w:tcPr>
            <w:tcW w:w="8505" w:type="dxa"/>
          </w:tcPr>
          <w:p w14:paraId="4D7F637C" w14:textId="638693C6" w:rsidR="00040254" w:rsidRPr="007C69AF" w:rsidRDefault="0047331E" w:rsidP="0047331E">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7C69AF">
              <w:rPr>
                <w:rFonts w:cstheme="minorHAnsi"/>
                <w:sz w:val="22"/>
                <w:szCs w:val="22"/>
              </w:rPr>
              <w:t>Government of the Democratic Republic of the Congo, Lobito Corridor Transit Transport Facilitation Agency (LCTTFA), national customs authorities, corridor management agencies, logistics operators, and private sector stakeholders in the mining and transport sectors.</w:t>
            </w:r>
            <w:r w:rsidR="00040254" w:rsidRPr="007C69AF">
              <w:rPr>
                <w:rFonts w:cstheme="minorHAnsi"/>
                <w:sz w:val="22"/>
                <w:szCs w:val="22"/>
              </w:rPr>
              <w:t xml:space="preserve"> </w:t>
            </w:r>
          </w:p>
        </w:tc>
      </w:tr>
      <w:tr w:rsidR="00040254" w:rsidRPr="007C69AF" w14:paraId="45893422" w14:textId="77777777" w:rsidTr="007A037A">
        <w:trPr>
          <w:trHeight w:val="1021"/>
        </w:trPr>
        <w:tc>
          <w:tcPr>
            <w:cnfStyle w:val="001000000000" w:firstRow="0" w:lastRow="0" w:firstColumn="1" w:lastColumn="0" w:oddVBand="0" w:evenVBand="0" w:oddHBand="0" w:evenHBand="0" w:firstRowFirstColumn="0" w:firstRowLastColumn="0" w:lastRowFirstColumn="0" w:lastRowLastColumn="0"/>
            <w:tcW w:w="1696" w:type="dxa"/>
          </w:tcPr>
          <w:p w14:paraId="72800BA8" w14:textId="65FB2AAA" w:rsidR="00040254" w:rsidRPr="007C69AF" w:rsidRDefault="00040254" w:rsidP="00303B11">
            <w:pPr>
              <w:pStyle w:val="NoSpacing"/>
              <w:rPr>
                <w:rFonts w:cstheme="minorHAnsi"/>
                <w:sz w:val="22"/>
                <w:szCs w:val="22"/>
              </w:rPr>
            </w:pPr>
            <w:r w:rsidRPr="007C69AF">
              <w:rPr>
                <w:rFonts w:cstheme="minorHAnsi"/>
                <w:sz w:val="22"/>
                <w:szCs w:val="22"/>
              </w:rPr>
              <w:t xml:space="preserve">Project Participants </w:t>
            </w:r>
          </w:p>
        </w:tc>
        <w:tc>
          <w:tcPr>
            <w:tcW w:w="8505" w:type="dxa"/>
          </w:tcPr>
          <w:p w14:paraId="354C2737" w14:textId="7A8D198E" w:rsidR="00040254" w:rsidRPr="007C69AF" w:rsidRDefault="0047331E" w:rsidP="0047331E">
            <w:pPr>
              <w:pStyle w:val="No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C69AF">
              <w:rPr>
                <w:rFonts w:cstheme="minorHAnsi"/>
                <w:sz w:val="22"/>
                <w:szCs w:val="22"/>
              </w:rPr>
              <w:t>Mining companies, logistics providers, freight forwarders, customs and border agencies, rail and port authorities, traders operating along the Lobito Corridor, and border communities</w:t>
            </w:r>
          </w:p>
        </w:tc>
      </w:tr>
      <w:tr w:rsidR="00040254" w:rsidRPr="007C69AF" w14:paraId="653806F9" w14:textId="77777777" w:rsidTr="007A037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96" w:type="dxa"/>
          </w:tcPr>
          <w:p w14:paraId="4CB9304F" w14:textId="5A329BD4" w:rsidR="00040254" w:rsidRPr="007C69AF" w:rsidRDefault="00040254" w:rsidP="00303B11">
            <w:pPr>
              <w:pStyle w:val="NoSpacing"/>
              <w:rPr>
                <w:rFonts w:cstheme="minorHAnsi"/>
                <w:sz w:val="22"/>
                <w:szCs w:val="22"/>
              </w:rPr>
            </w:pPr>
            <w:r w:rsidRPr="007C69AF">
              <w:rPr>
                <w:rFonts w:cstheme="minorHAnsi"/>
                <w:sz w:val="22"/>
                <w:szCs w:val="22"/>
              </w:rPr>
              <w:t>Project Rationale (why this project matters)</w:t>
            </w:r>
          </w:p>
        </w:tc>
        <w:tc>
          <w:tcPr>
            <w:tcW w:w="8505" w:type="dxa"/>
          </w:tcPr>
          <w:p w14:paraId="6986FEC3" w14:textId="77777777" w:rsidR="00A60773" w:rsidRPr="00A60773" w:rsidRDefault="00A60773" w:rsidP="00A6077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KE"/>
              </w:rPr>
            </w:pPr>
            <w:r w:rsidRPr="00A60773">
              <w:rPr>
                <w:rFonts w:cstheme="minorHAnsi"/>
                <w:sz w:val="22"/>
                <w:szCs w:val="22"/>
                <w:lang w:val="en-KE"/>
              </w:rPr>
              <w:t>The Lobito Corridor connects the mineral-rich regions of southern DRC and northern Zambia to global markets through Angola’s Port of Lobito, with the Benguela Railway at its core. As demand for critical minerals such as copper and cobalt rises, driven by industrial supply chains and the energy transition, the corridor is taking on growing strategic importance.</w:t>
            </w:r>
          </w:p>
          <w:p w14:paraId="7AE86D48" w14:textId="77777777" w:rsidR="00A60773" w:rsidRPr="00A60773" w:rsidRDefault="00A60773" w:rsidP="00A6077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KE"/>
              </w:rPr>
            </w:pPr>
          </w:p>
          <w:p w14:paraId="41B55952" w14:textId="05A45DAF" w:rsidR="00A60773" w:rsidRPr="00A60773" w:rsidRDefault="00A60773" w:rsidP="00A6077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KE"/>
              </w:rPr>
            </w:pPr>
            <w:r w:rsidRPr="00A60773">
              <w:rPr>
                <w:rFonts w:cstheme="minorHAnsi"/>
                <w:sz w:val="22"/>
                <w:szCs w:val="22"/>
                <w:lang w:val="en-KE"/>
              </w:rPr>
              <w:t>Yet</w:t>
            </w:r>
            <w:r w:rsidR="007C69AF">
              <w:rPr>
                <w:rFonts w:cstheme="minorHAnsi"/>
                <w:sz w:val="22"/>
                <w:szCs w:val="22"/>
                <w:lang w:val="en-KE"/>
              </w:rPr>
              <w:t>,</w:t>
            </w:r>
            <w:r w:rsidRPr="00A60773">
              <w:rPr>
                <w:rFonts w:cstheme="minorHAnsi"/>
                <w:sz w:val="22"/>
                <w:szCs w:val="22"/>
                <w:lang w:val="en-KE"/>
              </w:rPr>
              <w:t xml:space="preserve"> its performance still falls short of its potential. Mineral shipments can take more than 40 days to clear, held back by fragmented border procedures, paper-based documentation and weak coordination across agencies and countries. The result is higher logistics costs, production uncertainty for mining companies and a corridor that is less reliable than global markets now require.</w:t>
            </w:r>
          </w:p>
          <w:p w14:paraId="6530637F" w14:textId="77777777" w:rsidR="00A60773" w:rsidRPr="00A60773" w:rsidRDefault="00A60773" w:rsidP="00A6077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KE"/>
              </w:rPr>
            </w:pPr>
          </w:p>
          <w:p w14:paraId="777F2EEC" w14:textId="64B8D474" w:rsidR="0047331E" w:rsidRPr="007C69AF" w:rsidRDefault="00A60773" w:rsidP="00A6077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KE"/>
              </w:rPr>
            </w:pPr>
            <w:r w:rsidRPr="00A60773">
              <w:rPr>
                <w:rFonts w:cstheme="minorHAnsi"/>
                <w:sz w:val="22"/>
                <w:szCs w:val="22"/>
                <w:lang w:val="en-KE"/>
              </w:rPr>
              <w:t xml:space="preserve">The Lobito Corridor Trade Facilitation Programme is designed to address that gap. It supports reforms to simplify procedures, strengthen regulatory systems and improve cross-border coordination so that investments in rail and port infrastructure are matched by efficient trade processes. </w:t>
            </w:r>
          </w:p>
        </w:tc>
      </w:tr>
      <w:tr w:rsidR="00040254" w:rsidRPr="007C69AF" w14:paraId="1A4284B5" w14:textId="77777777" w:rsidTr="007A037A">
        <w:trPr>
          <w:trHeight w:val="994"/>
        </w:trPr>
        <w:tc>
          <w:tcPr>
            <w:cnfStyle w:val="001000000000" w:firstRow="0" w:lastRow="0" w:firstColumn="1" w:lastColumn="0" w:oddVBand="0" w:evenVBand="0" w:oddHBand="0" w:evenHBand="0" w:firstRowFirstColumn="0" w:firstRowLastColumn="0" w:lastRowFirstColumn="0" w:lastRowLastColumn="0"/>
            <w:tcW w:w="1696" w:type="dxa"/>
          </w:tcPr>
          <w:p w14:paraId="31706662" w14:textId="781CC763" w:rsidR="00040254" w:rsidRPr="007C69AF" w:rsidRDefault="00040254" w:rsidP="00303B11">
            <w:pPr>
              <w:pStyle w:val="NoSpacing"/>
              <w:rPr>
                <w:rFonts w:cstheme="minorHAnsi"/>
                <w:sz w:val="22"/>
                <w:szCs w:val="22"/>
              </w:rPr>
            </w:pPr>
            <w:r w:rsidRPr="007C69AF">
              <w:rPr>
                <w:rFonts w:cstheme="minorHAnsi"/>
                <w:sz w:val="22"/>
                <w:szCs w:val="22"/>
              </w:rPr>
              <w:t xml:space="preserve">Implementation Strategy </w:t>
            </w:r>
          </w:p>
        </w:tc>
        <w:tc>
          <w:tcPr>
            <w:tcW w:w="8505" w:type="dxa"/>
          </w:tcPr>
          <w:p w14:paraId="2827CB22" w14:textId="546474D1" w:rsidR="00A879EF" w:rsidRPr="007C69AF" w:rsidRDefault="00A879EF" w:rsidP="00A879E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7C69AF">
              <w:rPr>
                <w:rFonts w:cstheme="minorHAnsi"/>
              </w:rPr>
              <w:t>As TMA’s flagship Critical Minerals project, the program</w:t>
            </w:r>
            <w:r w:rsidRPr="007C69AF">
              <w:rPr>
                <w:rFonts w:cstheme="minorHAnsi"/>
              </w:rPr>
              <w:t>me will</w:t>
            </w:r>
            <w:r w:rsidRPr="007C69AF">
              <w:rPr>
                <w:rFonts w:cstheme="minorHAnsi"/>
              </w:rPr>
              <w:t xml:space="preserve"> follow a phased</w:t>
            </w:r>
            <w:r w:rsidRPr="007C69AF">
              <w:rPr>
                <w:rFonts w:cstheme="minorHAnsi"/>
              </w:rPr>
              <w:t>,</w:t>
            </w:r>
            <w:r w:rsidRPr="007C69AF">
              <w:rPr>
                <w:rFonts w:cstheme="minorHAnsi"/>
              </w:rPr>
              <w:t xml:space="preserve"> </w:t>
            </w:r>
            <w:proofErr w:type="gramStart"/>
            <w:r w:rsidRPr="007C69AF">
              <w:rPr>
                <w:rFonts w:cstheme="minorHAnsi"/>
              </w:rPr>
              <w:t>operationally-led</w:t>
            </w:r>
            <w:proofErr w:type="gramEnd"/>
            <w:r w:rsidRPr="007C69AF">
              <w:rPr>
                <w:rFonts w:cstheme="minorHAnsi"/>
              </w:rPr>
              <w:t xml:space="preserve"> strategy designed to </w:t>
            </w:r>
            <w:r w:rsidRPr="007C69AF">
              <w:rPr>
                <w:rFonts w:cstheme="minorHAnsi"/>
              </w:rPr>
              <w:t>transform the Kolwezi-</w:t>
            </w:r>
            <w:proofErr w:type="spellStart"/>
            <w:r w:rsidRPr="007C69AF">
              <w:rPr>
                <w:rFonts w:cstheme="minorHAnsi"/>
              </w:rPr>
              <w:t>Dilolo</w:t>
            </w:r>
            <w:proofErr w:type="spellEnd"/>
            <w:r w:rsidRPr="007C69AF">
              <w:rPr>
                <w:rFonts w:cstheme="minorHAnsi"/>
              </w:rPr>
              <w:t xml:space="preserve"> route into a high efficiency trade artery, by tackling </w:t>
            </w:r>
            <w:r w:rsidRPr="007C69AF">
              <w:rPr>
                <w:rFonts w:cstheme="minorHAnsi"/>
              </w:rPr>
              <w:t xml:space="preserve">the current 40-day document clearance delays </w:t>
            </w:r>
            <w:r w:rsidRPr="007C69AF">
              <w:rPr>
                <w:rFonts w:cstheme="minorHAnsi"/>
              </w:rPr>
              <w:t>through the following pillars:</w:t>
            </w:r>
          </w:p>
          <w:p w14:paraId="42C5D5FC" w14:textId="09003C40" w:rsidR="00A879EF" w:rsidRPr="007C69AF" w:rsidRDefault="00A879EF" w:rsidP="00831F82">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rFonts w:cstheme="minorHAnsi"/>
                <w:b/>
                <w:bCs/>
                <w:lang w:val="en-KE"/>
              </w:rPr>
            </w:pPr>
            <w:r w:rsidRPr="007C69AF">
              <w:rPr>
                <w:rFonts w:cstheme="minorHAnsi"/>
                <w:b/>
                <w:bCs/>
                <w:lang w:val="en-KE"/>
              </w:rPr>
              <w:t>Phased Operational Deployment</w:t>
            </w:r>
            <w:r w:rsidR="00831F82" w:rsidRPr="007C69AF">
              <w:rPr>
                <w:rFonts w:cstheme="minorHAnsi"/>
                <w:b/>
                <w:bCs/>
                <w:lang w:val="en-KE"/>
              </w:rPr>
              <w:t xml:space="preserve">: </w:t>
            </w:r>
            <w:r w:rsidRPr="007C69AF">
              <w:rPr>
                <w:rFonts w:cstheme="minorHAnsi"/>
                <w:lang w:val="en-KE"/>
              </w:rPr>
              <w:t xml:space="preserve">The implementation adopts a source-to-sea logic, </w:t>
            </w:r>
            <w:r w:rsidRPr="007C69AF">
              <w:rPr>
                <w:rFonts w:cstheme="minorHAnsi"/>
                <w:lang w:val="en-KE"/>
              </w:rPr>
              <w:t>starting i</w:t>
            </w:r>
            <w:r w:rsidRPr="007C69AF">
              <w:rPr>
                <w:rFonts w:cstheme="minorHAnsi"/>
                <w:lang w:val="en-KE"/>
              </w:rPr>
              <w:t>n Kolwezi</w:t>
            </w:r>
            <w:r w:rsidRPr="007C69AF">
              <w:rPr>
                <w:rFonts w:cstheme="minorHAnsi"/>
                <w:lang w:val="en-KE"/>
              </w:rPr>
              <w:t>-</w:t>
            </w:r>
            <w:r w:rsidRPr="007C69AF">
              <w:rPr>
                <w:rFonts w:cstheme="minorHAnsi"/>
                <w:lang w:val="en-KE"/>
              </w:rPr>
              <w:t xml:space="preserve">the primary hub where mineral traceability, certification, and export clearance are concentrated. Following high-level ministerial and national launches in </w:t>
            </w:r>
            <w:r w:rsidRPr="007C69AF">
              <w:rPr>
                <w:rFonts w:cstheme="minorHAnsi"/>
                <w:lang w:val="en-KE"/>
              </w:rPr>
              <w:t xml:space="preserve">March </w:t>
            </w:r>
            <w:r w:rsidRPr="007C69AF">
              <w:rPr>
                <w:rFonts w:cstheme="minorHAnsi"/>
                <w:lang w:val="en-KE"/>
              </w:rPr>
              <w:t>2026, the program</w:t>
            </w:r>
            <w:r w:rsidRPr="007C69AF">
              <w:rPr>
                <w:rFonts w:cstheme="minorHAnsi"/>
                <w:lang w:val="en-KE"/>
              </w:rPr>
              <w:t>me</w:t>
            </w:r>
            <w:r w:rsidRPr="007C69AF">
              <w:rPr>
                <w:rFonts w:cstheme="minorHAnsi"/>
                <w:lang w:val="en-KE"/>
              </w:rPr>
              <w:t xml:space="preserve"> is currently in the consultation phase across Kolwezi, </w:t>
            </w:r>
            <w:proofErr w:type="spellStart"/>
            <w:r w:rsidRPr="007C69AF">
              <w:rPr>
                <w:rFonts w:cstheme="minorHAnsi"/>
                <w:lang w:val="en-KE"/>
              </w:rPr>
              <w:t>Dilolo</w:t>
            </w:r>
            <w:proofErr w:type="spellEnd"/>
            <w:r w:rsidRPr="007C69AF">
              <w:rPr>
                <w:rFonts w:cstheme="minorHAnsi"/>
                <w:lang w:val="en-KE"/>
              </w:rPr>
              <w:t>, and Lobito to ensure the rollout aligns with local logistics realities</w:t>
            </w:r>
          </w:p>
          <w:p w14:paraId="1416C995" w14:textId="77777777" w:rsidR="00831F82" w:rsidRPr="007C69AF" w:rsidRDefault="00A879EF" w:rsidP="00831F82">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A879EF">
              <w:rPr>
                <w:rFonts w:cstheme="minorHAnsi"/>
                <w:b/>
                <w:bCs/>
                <w:lang w:val="en-KE"/>
              </w:rPr>
              <w:t>Systems Digitali</w:t>
            </w:r>
            <w:r w:rsidRPr="007C69AF">
              <w:rPr>
                <w:rFonts w:cstheme="minorHAnsi"/>
                <w:b/>
                <w:bCs/>
                <w:lang w:val="en-KE"/>
              </w:rPr>
              <w:t>s</w:t>
            </w:r>
            <w:r w:rsidRPr="00A879EF">
              <w:rPr>
                <w:rFonts w:cstheme="minorHAnsi"/>
                <w:b/>
                <w:bCs/>
                <w:lang w:val="en-KE"/>
              </w:rPr>
              <w:t>ation and Procedural Reform</w:t>
            </w:r>
            <w:r w:rsidR="00831F82" w:rsidRPr="007C69AF">
              <w:rPr>
                <w:rFonts w:cstheme="minorHAnsi"/>
                <w:b/>
                <w:bCs/>
                <w:lang w:val="en-KE"/>
              </w:rPr>
              <w:t xml:space="preserve">: </w:t>
            </w:r>
            <w:r w:rsidRPr="00A879EF">
              <w:rPr>
                <w:rFonts w:cstheme="minorHAnsi"/>
                <w:lang w:val="en-KE"/>
              </w:rPr>
              <w:t>A core priority is the transition from archaic, manual workflows to integrated electronic systems. By digiti</w:t>
            </w:r>
            <w:r w:rsidR="00831F82" w:rsidRPr="007C69AF">
              <w:rPr>
                <w:rFonts w:cstheme="minorHAnsi"/>
                <w:lang w:val="en-KE"/>
              </w:rPr>
              <w:t>s</w:t>
            </w:r>
            <w:r w:rsidRPr="00A879EF">
              <w:rPr>
                <w:rFonts w:cstheme="minorHAnsi"/>
                <w:lang w:val="en-KE"/>
              </w:rPr>
              <w:t>ing trade and clearance processes, the program</w:t>
            </w:r>
            <w:r w:rsidR="00831F82" w:rsidRPr="007C69AF">
              <w:rPr>
                <w:rFonts w:cstheme="minorHAnsi"/>
                <w:lang w:val="en-KE"/>
              </w:rPr>
              <w:t>me</w:t>
            </w:r>
            <w:r w:rsidRPr="00A879EF">
              <w:rPr>
                <w:rFonts w:cstheme="minorHAnsi"/>
                <w:lang w:val="en-KE"/>
              </w:rPr>
              <w:t xml:space="preserve"> will enable real-time data exchange between border agencies. This digital shift is paired with the simplification of documentation </w:t>
            </w:r>
            <w:r w:rsidRPr="00A879EF">
              <w:rPr>
                <w:rFonts w:cstheme="minorHAnsi"/>
                <w:lang w:val="en-KE"/>
              </w:rPr>
              <w:lastRenderedPageBreak/>
              <w:t>requirements, directly targeting the reduction of bottlenecks for mineral exports and general cargo.</w:t>
            </w:r>
          </w:p>
          <w:p w14:paraId="68E5F163" w14:textId="77777777" w:rsidR="00831F82" w:rsidRPr="007C69AF" w:rsidRDefault="00A879EF" w:rsidP="00831F82">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b/>
                <w:bCs/>
                <w:lang w:val="en-KE"/>
              </w:rPr>
              <w:t>Strengthening Corridor Governance</w:t>
            </w:r>
            <w:r w:rsidR="00831F82" w:rsidRPr="007C69AF">
              <w:rPr>
                <w:rFonts w:cstheme="minorHAnsi"/>
                <w:lang w:val="en-KE"/>
              </w:rPr>
              <w:t xml:space="preserve">: </w:t>
            </w:r>
            <w:r w:rsidRPr="007C69AF">
              <w:rPr>
                <w:rFonts w:cstheme="minorHAnsi"/>
                <w:lang w:val="en-KE"/>
              </w:rPr>
              <w:t>To ensure long-term sustainability, the strategy focuses on deepening DRC-Angola cooperation. This includes providing technical and institutional support to the Lobito Corridor Transit Transport Facilitation Agency, creating a robust framework for regional governance and harmonized trade policies.</w:t>
            </w:r>
          </w:p>
          <w:p w14:paraId="07AEB37D" w14:textId="326F563F" w:rsidR="00831F82" w:rsidRPr="007C69AF" w:rsidRDefault="00831F82" w:rsidP="00831F82">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b/>
                <w:bCs/>
                <w:lang w:val="en-KE"/>
              </w:rPr>
              <w:t>Institutional Coordination</w:t>
            </w:r>
            <w:r w:rsidRPr="007C69AF">
              <w:rPr>
                <w:rFonts w:cstheme="minorHAnsi"/>
                <w:b/>
                <w:bCs/>
                <w:lang w:val="en-KE"/>
              </w:rPr>
              <w:t xml:space="preserve">: </w:t>
            </w:r>
            <w:r w:rsidRPr="007C69AF">
              <w:rPr>
                <w:rFonts w:cstheme="minorHAnsi"/>
                <w:lang w:val="en-KE"/>
              </w:rPr>
              <w:t>The program</w:t>
            </w:r>
            <w:r w:rsidRPr="007C69AF">
              <w:rPr>
                <w:rFonts w:cstheme="minorHAnsi"/>
                <w:lang w:val="en-KE"/>
              </w:rPr>
              <w:t xml:space="preserve">me will synchronise activities between entities to improve operations including: </w:t>
            </w:r>
            <w:r w:rsidRPr="007C69AF">
              <w:rPr>
                <w:rFonts w:cstheme="minorHAnsi"/>
                <w:lang w:val="en-KE"/>
              </w:rPr>
              <w:t xml:space="preserve"> </w:t>
            </w:r>
          </w:p>
          <w:p w14:paraId="2BAED6D8" w14:textId="77777777" w:rsidR="00831F82" w:rsidRPr="007C69AF" w:rsidRDefault="00831F82" w:rsidP="00831F82">
            <w:pPr>
              <w:pStyle w:val="ListParagraph"/>
              <w:numPr>
                <w:ilvl w:val="1"/>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lang w:val="en-KE"/>
              </w:rPr>
              <w:t>Customs Administrations</w:t>
            </w:r>
          </w:p>
          <w:p w14:paraId="10A34CB5" w14:textId="77777777" w:rsidR="00831F82" w:rsidRPr="007C69AF" w:rsidRDefault="00831F82" w:rsidP="00831F82">
            <w:pPr>
              <w:pStyle w:val="ListParagraph"/>
              <w:numPr>
                <w:ilvl w:val="1"/>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lang w:val="en-KE"/>
              </w:rPr>
              <w:t>Rail and Port Operators</w:t>
            </w:r>
          </w:p>
          <w:p w14:paraId="34C6561F" w14:textId="29FE0219" w:rsidR="00831F82" w:rsidRPr="007C69AF" w:rsidRDefault="00831F82" w:rsidP="00831F82">
            <w:pPr>
              <w:pStyle w:val="ListParagraph"/>
              <w:numPr>
                <w:ilvl w:val="1"/>
                <w:numId w:val="34"/>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lang w:val="en-KE"/>
              </w:rPr>
              <w:t>Border and Corridor Institutions</w:t>
            </w:r>
          </w:p>
          <w:p w14:paraId="1DF6A5C7" w14:textId="30FE9A39" w:rsidR="00D942E6" w:rsidRPr="007C69AF" w:rsidRDefault="00831F82" w:rsidP="00831F82">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rFonts w:cstheme="minorHAnsi"/>
                <w:b/>
                <w:bCs/>
                <w:lang w:val="en-KE"/>
              </w:rPr>
            </w:pPr>
            <w:r w:rsidRPr="00831F82">
              <w:rPr>
                <w:rFonts w:cstheme="minorHAnsi"/>
                <w:b/>
                <w:bCs/>
                <w:lang w:val="en-KE"/>
              </w:rPr>
              <w:t>Structured Public-Private Engagement</w:t>
            </w:r>
            <w:r w:rsidRPr="007C69AF">
              <w:rPr>
                <w:rFonts w:cstheme="minorHAnsi"/>
                <w:b/>
                <w:bCs/>
                <w:lang w:val="en-KE"/>
              </w:rPr>
              <w:t xml:space="preserve">: </w:t>
            </w:r>
            <w:r w:rsidRPr="007C69AF">
              <w:rPr>
                <w:rFonts w:cstheme="minorHAnsi"/>
                <w:lang w:val="en-KE"/>
              </w:rPr>
              <w:t xml:space="preserve">Implementation </w:t>
            </w:r>
            <w:r w:rsidRPr="007C69AF">
              <w:rPr>
                <w:rFonts w:cstheme="minorHAnsi"/>
                <w:lang w:val="en-KE"/>
              </w:rPr>
              <w:t xml:space="preserve">is </w:t>
            </w:r>
            <w:r w:rsidRPr="007C69AF">
              <w:rPr>
                <w:rFonts w:cstheme="minorHAnsi"/>
                <w:lang w:val="en-KE"/>
              </w:rPr>
              <w:t xml:space="preserve">rooted in a collaborative model with the DRC Government, informed by the practical needs of the private sector. Through structured dialogue with mining and logistics companies, TMA </w:t>
            </w:r>
            <w:r w:rsidRPr="007C69AF">
              <w:rPr>
                <w:rFonts w:cstheme="minorHAnsi"/>
                <w:lang w:val="en-KE"/>
              </w:rPr>
              <w:t xml:space="preserve">will </w:t>
            </w:r>
            <w:r w:rsidRPr="007C69AF">
              <w:rPr>
                <w:rFonts w:cstheme="minorHAnsi"/>
                <w:lang w:val="en-KE"/>
              </w:rPr>
              <w:t>ensure that reforms are not merely administrative but are responsive to the operational challenges of the firms driving the corridor's economy.</w:t>
            </w:r>
          </w:p>
        </w:tc>
      </w:tr>
      <w:tr w:rsidR="00040254" w:rsidRPr="007C69AF" w14:paraId="4C14BB29" w14:textId="77777777" w:rsidTr="007A037A">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1696" w:type="dxa"/>
          </w:tcPr>
          <w:p w14:paraId="04E9DD30" w14:textId="2793DCFB" w:rsidR="00040254" w:rsidRPr="007C69AF" w:rsidRDefault="00040254" w:rsidP="00303B11">
            <w:pPr>
              <w:pStyle w:val="NoSpacing"/>
              <w:rPr>
                <w:rFonts w:cstheme="minorHAnsi"/>
                <w:sz w:val="22"/>
                <w:szCs w:val="22"/>
              </w:rPr>
            </w:pPr>
            <w:r w:rsidRPr="007C69AF">
              <w:rPr>
                <w:rFonts w:cstheme="minorHAnsi"/>
                <w:sz w:val="22"/>
                <w:szCs w:val="22"/>
              </w:rPr>
              <w:lastRenderedPageBreak/>
              <w:t xml:space="preserve">Target Results </w:t>
            </w:r>
          </w:p>
        </w:tc>
        <w:tc>
          <w:tcPr>
            <w:tcW w:w="8505" w:type="dxa"/>
          </w:tcPr>
          <w:p w14:paraId="1D591B07" w14:textId="091951FE" w:rsidR="007A037A" w:rsidRPr="007C69AF" w:rsidRDefault="007A037A" w:rsidP="00831F82">
            <w:pPr>
              <w:numPr>
                <w:ilvl w:val="0"/>
                <w:numId w:val="30"/>
              </w:numPr>
              <w:cnfStyle w:val="000000100000" w:firstRow="0" w:lastRow="0" w:firstColumn="0" w:lastColumn="0" w:oddVBand="0" w:evenVBand="0" w:oddHBand="1" w:evenHBand="0" w:firstRowFirstColumn="0" w:firstRowLastColumn="0" w:lastRowFirstColumn="0" w:lastRowLastColumn="0"/>
              <w:rPr>
                <w:rFonts w:cstheme="minorHAnsi"/>
                <w:lang w:val="en-KE"/>
              </w:rPr>
            </w:pPr>
            <w:r w:rsidRPr="007C69AF">
              <w:rPr>
                <w:rFonts w:cstheme="minorHAnsi"/>
                <w:lang w:val="en-KE"/>
              </w:rPr>
              <w:t>Reduced processing times for mineral consignments</w:t>
            </w:r>
            <w:r w:rsidR="00831F82" w:rsidRPr="007C69AF">
              <w:rPr>
                <w:rFonts w:cstheme="minorHAnsi"/>
                <w:lang w:val="en-KE"/>
              </w:rPr>
              <w:t xml:space="preserve"> through improved </w:t>
            </w:r>
            <w:r w:rsidR="00831F82" w:rsidRPr="007C69AF">
              <w:rPr>
                <w:rFonts w:cstheme="minorHAnsi"/>
                <w:lang w:val="en-KE"/>
              </w:rPr>
              <w:t>transparency and predictability in export procedures</w:t>
            </w:r>
            <w:r w:rsidR="00831F82" w:rsidRPr="007C69AF">
              <w:rPr>
                <w:rFonts w:cstheme="minorHAnsi"/>
                <w:lang w:val="en-KE"/>
              </w:rPr>
              <w:t xml:space="preserve"> among customs, other border agencies and private sector</w:t>
            </w:r>
          </w:p>
          <w:p w14:paraId="7E6EAC3D" w14:textId="77777777" w:rsidR="007A037A" w:rsidRPr="007C69AF" w:rsidRDefault="007A037A" w:rsidP="007A037A">
            <w:pPr>
              <w:numPr>
                <w:ilvl w:val="0"/>
                <w:numId w:val="30"/>
              </w:numPr>
              <w:cnfStyle w:val="000000100000" w:firstRow="0" w:lastRow="0" w:firstColumn="0" w:lastColumn="0" w:oddVBand="0" w:evenVBand="0" w:oddHBand="1" w:evenHBand="0" w:firstRowFirstColumn="0" w:firstRowLastColumn="0" w:lastRowFirstColumn="0" w:lastRowLastColumn="0"/>
              <w:rPr>
                <w:rFonts w:cstheme="minorHAnsi"/>
                <w:lang w:val="en-KE"/>
              </w:rPr>
            </w:pPr>
            <w:r w:rsidRPr="007C69AF">
              <w:rPr>
                <w:rFonts w:cstheme="minorHAnsi"/>
                <w:lang w:val="en-KE"/>
              </w:rPr>
              <w:t>Lower trade and logistics costs</w:t>
            </w:r>
          </w:p>
          <w:p w14:paraId="1AD72E37" w14:textId="07F93F7D" w:rsidR="00D942E6" w:rsidRPr="007C69AF" w:rsidRDefault="007A037A" w:rsidP="007A037A">
            <w:pPr>
              <w:numPr>
                <w:ilvl w:val="0"/>
                <w:numId w:val="30"/>
              </w:numPr>
              <w:cnfStyle w:val="000000100000" w:firstRow="0" w:lastRow="0" w:firstColumn="0" w:lastColumn="0" w:oddVBand="0" w:evenVBand="0" w:oddHBand="1" w:evenHBand="0" w:firstRowFirstColumn="0" w:firstRowLastColumn="0" w:lastRowFirstColumn="0" w:lastRowLastColumn="0"/>
              <w:rPr>
                <w:rFonts w:cstheme="minorHAnsi"/>
                <w:lang w:val="en-KE"/>
              </w:rPr>
            </w:pPr>
            <w:r w:rsidRPr="007C69AF">
              <w:rPr>
                <w:rFonts w:cstheme="minorHAnsi"/>
                <w:lang w:val="en-KE"/>
              </w:rPr>
              <w:t>Strengthened the competitiveness of Congolese exports within global mineral supply chains</w:t>
            </w:r>
          </w:p>
        </w:tc>
      </w:tr>
      <w:tr w:rsidR="00040254" w:rsidRPr="007C69AF" w14:paraId="20FFD379" w14:textId="77777777" w:rsidTr="007A037A">
        <w:trPr>
          <w:trHeight w:val="923"/>
        </w:trPr>
        <w:tc>
          <w:tcPr>
            <w:cnfStyle w:val="001000000000" w:firstRow="0" w:lastRow="0" w:firstColumn="1" w:lastColumn="0" w:oddVBand="0" w:evenVBand="0" w:oddHBand="0" w:evenHBand="0" w:firstRowFirstColumn="0" w:firstRowLastColumn="0" w:lastRowFirstColumn="0" w:lastRowLastColumn="0"/>
            <w:tcW w:w="1696" w:type="dxa"/>
          </w:tcPr>
          <w:p w14:paraId="65DF8A15" w14:textId="77777777" w:rsidR="00040254" w:rsidRPr="007C69AF" w:rsidRDefault="00040254" w:rsidP="00303B11">
            <w:pPr>
              <w:pStyle w:val="NoSpacing"/>
              <w:rPr>
                <w:rFonts w:cstheme="minorHAnsi"/>
                <w:b w:val="0"/>
                <w:bCs w:val="0"/>
                <w:sz w:val="22"/>
                <w:szCs w:val="22"/>
              </w:rPr>
            </w:pPr>
            <w:r w:rsidRPr="007C69AF">
              <w:rPr>
                <w:rFonts w:cstheme="minorHAnsi"/>
                <w:sz w:val="22"/>
                <w:szCs w:val="22"/>
              </w:rPr>
              <w:t xml:space="preserve">Progress </w:t>
            </w:r>
          </w:p>
          <w:p w14:paraId="193E2064" w14:textId="3C232ECE" w:rsidR="00831F82" w:rsidRPr="007C69AF" w:rsidRDefault="00831F82" w:rsidP="00303B11">
            <w:pPr>
              <w:pStyle w:val="NoSpacing"/>
              <w:rPr>
                <w:rFonts w:cstheme="minorHAnsi"/>
                <w:sz w:val="22"/>
                <w:szCs w:val="22"/>
              </w:rPr>
            </w:pPr>
            <w:r w:rsidRPr="007C69AF">
              <w:rPr>
                <w:rFonts w:cstheme="minorHAnsi"/>
                <w:sz w:val="22"/>
                <w:szCs w:val="22"/>
              </w:rPr>
              <w:t>April 2026</w:t>
            </w:r>
          </w:p>
        </w:tc>
        <w:tc>
          <w:tcPr>
            <w:tcW w:w="8505" w:type="dxa"/>
          </w:tcPr>
          <w:p w14:paraId="7F6D5917" w14:textId="707F6951" w:rsidR="00040254" w:rsidRPr="007C69AF" w:rsidRDefault="00831F82" w:rsidP="00831F82">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cstheme="minorHAnsi"/>
                <w:lang w:val="en-KE"/>
              </w:rPr>
            </w:pPr>
            <w:r w:rsidRPr="007C69AF">
              <w:rPr>
                <w:rFonts w:cstheme="minorHAnsi"/>
              </w:rPr>
              <w:t xml:space="preserve">Regional and </w:t>
            </w:r>
            <w:r w:rsidRPr="007C69AF">
              <w:rPr>
                <w:rFonts w:cstheme="minorHAnsi"/>
              </w:rPr>
              <w:t>National launch</w:t>
            </w:r>
            <w:r w:rsidRPr="007C69AF">
              <w:rPr>
                <w:rFonts w:cstheme="minorHAnsi"/>
              </w:rPr>
              <w:t>es were</w:t>
            </w:r>
            <w:r w:rsidRPr="007C69AF">
              <w:rPr>
                <w:rFonts w:cstheme="minorHAnsi"/>
              </w:rPr>
              <w:t xml:space="preserve"> successfully completed (</w:t>
            </w:r>
            <w:r w:rsidRPr="007C69AF">
              <w:rPr>
                <w:rFonts w:cstheme="minorHAnsi"/>
              </w:rPr>
              <w:t xml:space="preserve">in March and </w:t>
            </w:r>
            <w:r w:rsidRPr="007C69AF">
              <w:rPr>
                <w:rFonts w:cstheme="minorHAnsi"/>
              </w:rPr>
              <w:t>April</w:t>
            </w:r>
            <w:r w:rsidRPr="007C69AF">
              <w:rPr>
                <w:rFonts w:cstheme="minorHAnsi"/>
              </w:rPr>
              <w:t>);</w:t>
            </w:r>
            <w:r w:rsidRPr="007C69AF">
              <w:rPr>
                <w:rFonts w:cstheme="minorHAnsi"/>
              </w:rPr>
              <w:t xml:space="preserve"> initial field consultations underway</w:t>
            </w:r>
            <w:r w:rsidRPr="007C69AF">
              <w:rPr>
                <w:rFonts w:cstheme="minorHAnsi"/>
              </w:rPr>
              <w:t xml:space="preserve"> in Kolwezi and </w:t>
            </w:r>
            <w:proofErr w:type="spellStart"/>
            <w:r w:rsidRPr="007C69AF">
              <w:rPr>
                <w:rFonts w:cstheme="minorHAnsi"/>
              </w:rPr>
              <w:t>Dilolo</w:t>
            </w:r>
            <w:proofErr w:type="spellEnd"/>
            <w:r w:rsidRPr="007C69AF">
              <w:rPr>
                <w:rFonts w:cstheme="minorHAnsi"/>
              </w:rPr>
              <w:t xml:space="preserve"> in DRC and Lobito in Angola.</w:t>
            </w:r>
          </w:p>
        </w:tc>
      </w:tr>
      <w:tr w:rsidR="00040254" w:rsidRPr="007C69AF" w14:paraId="5A3D4E36" w14:textId="77777777" w:rsidTr="007A037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696" w:type="dxa"/>
          </w:tcPr>
          <w:p w14:paraId="525D032A" w14:textId="77777777" w:rsidR="00040254" w:rsidRPr="007C69AF" w:rsidRDefault="00040254" w:rsidP="00303B11">
            <w:pPr>
              <w:pStyle w:val="NoSpacing"/>
              <w:rPr>
                <w:rFonts w:cstheme="minorHAnsi"/>
                <w:sz w:val="22"/>
                <w:szCs w:val="22"/>
              </w:rPr>
            </w:pPr>
            <w:r w:rsidRPr="007C69AF">
              <w:rPr>
                <w:rFonts w:cstheme="minorHAnsi"/>
                <w:sz w:val="22"/>
                <w:szCs w:val="22"/>
              </w:rPr>
              <w:t>Contact</w:t>
            </w:r>
          </w:p>
        </w:tc>
        <w:tc>
          <w:tcPr>
            <w:tcW w:w="8505" w:type="dxa"/>
          </w:tcPr>
          <w:p w14:paraId="7F1F79AA" w14:textId="77777777" w:rsidR="00CF783A" w:rsidRPr="007C69AF" w:rsidRDefault="00CF783A" w:rsidP="00CF783A">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7C69AF">
              <w:rPr>
                <w:rFonts w:cstheme="minorHAnsi"/>
                <w:sz w:val="22"/>
                <w:szCs w:val="22"/>
              </w:rPr>
              <w:t>Aimé Nzoyihera</w:t>
            </w:r>
          </w:p>
          <w:p w14:paraId="00B6CA7F" w14:textId="4BEED0B0" w:rsidR="00CF783A" w:rsidRPr="007C69AF" w:rsidRDefault="00CF783A" w:rsidP="00CF783A">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7C69AF">
              <w:rPr>
                <w:rFonts w:cstheme="minorHAnsi"/>
                <w:sz w:val="22"/>
                <w:szCs w:val="22"/>
              </w:rPr>
              <w:t>DRC Country Programme Director</w:t>
            </w:r>
          </w:p>
          <w:p w14:paraId="554F31FB" w14:textId="3FF4C59D" w:rsidR="00040254" w:rsidRPr="007C69AF" w:rsidRDefault="00CF783A" w:rsidP="00CF783A">
            <w:pPr>
              <w:pStyle w:val="NoSpacing"/>
              <w:cnfStyle w:val="000000100000" w:firstRow="0" w:lastRow="0" w:firstColumn="0" w:lastColumn="0" w:oddVBand="0" w:evenVBand="0" w:oddHBand="1" w:evenHBand="0" w:firstRowFirstColumn="0" w:firstRowLastColumn="0" w:lastRowFirstColumn="0" w:lastRowLastColumn="0"/>
              <w:rPr>
                <w:rFonts w:cstheme="minorHAnsi"/>
                <w:sz w:val="22"/>
                <w:szCs w:val="22"/>
                <w:lang w:val="fr-FR"/>
              </w:rPr>
            </w:pPr>
            <w:r w:rsidRPr="007C69AF">
              <w:rPr>
                <w:rFonts w:cstheme="minorHAnsi"/>
                <w:sz w:val="22"/>
                <w:szCs w:val="22"/>
                <w:lang w:val="fr-FR"/>
              </w:rPr>
              <w:t xml:space="preserve">Contact : </w:t>
            </w:r>
            <w:hyperlink r:id="rId7" w:history="1">
              <w:r w:rsidRPr="007C69AF">
                <w:rPr>
                  <w:rStyle w:val="Hyperlink"/>
                  <w:rFonts w:cstheme="minorHAnsi"/>
                  <w:sz w:val="22"/>
                  <w:szCs w:val="22"/>
                  <w:lang w:val="fr-FR"/>
                </w:rPr>
                <w:t>aime.nzoyihera@trademarkafrica.com</w:t>
              </w:r>
            </w:hyperlink>
            <w:r w:rsidRPr="007C69AF">
              <w:rPr>
                <w:rFonts w:cstheme="minorHAnsi"/>
                <w:sz w:val="22"/>
                <w:szCs w:val="22"/>
                <w:lang w:val="fr-FR"/>
              </w:rPr>
              <w:t xml:space="preserve"> </w:t>
            </w:r>
          </w:p>
        </w:tc>
      </w:tr>
    </w:tbl>
    <w:p w14:paraId="3BC90775" w14:textId="77777777" w:rsidR="006120D0" w:rsidRPr="007C69AF" w:rsidRDefault="006120D0" w:rsidP="00AF3F70">
      <w:pPr>
        <w:rPr>
          <w:rFonts w:cstheme="minorHAnsi"/>
          <w:lang w:val="fr-FR"/>
        </w:rPr>
      </w:pPr>
    </w:p>
    <w:sectPr w:rsidR="006120D0" w:rsidRPr="007C69AF" w:rsidSect="00F238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4B52" w14:textId="77777777" w:rsidR="00E20A24" w:rsidRPr="00674543" w:rsidRDefault="00E20A24">
      <w:pPr>
        <w:spacing w:after="0" w:line="240" w:lineRule="auto"/>
      </w:pPr>
      <w:r w:rsidRPr="00674543">
        <w:separator/>
      </w:r>
    </w:p>
  </w:endnote>
  <w:endnote w:type="continuationSeparator" w:id="0">
    <w:p w14:paraId="5A21CF85" w14:textId="77777777" w:rsidR="00E20A24" w:rsidRPr="00674543" w:rsidRDefault="00E20A24">
      <w:pPr>
        <w:spacing w:after="0" w:line="240" w:lineRule="auto"/>
      </w:pPr>
      <w:r w:rsidRPr="00674543">
        <w:continuationSeparator/>
      </w:r>
    </w:p>
  </w:endnote>
  <w:endnote w:type="continuationNotice" w:id="1">
    <w:p w14:paraId="0387CB7A" w14:textId="77777777" w:rsidR="00E20A24" w:rsidRPr="00674543" w:rsidRDefault="00E20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Pr="00674543">
      <w:t>1</w:t>
    </w:r>
    <w:r w:rsidRPr="00674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EAE7" w14:textId="77777777" w:rsidR="00E20A24" w:rsidRPr="00674543" w:rsidRDefault="00E20A24">
      <w:pPr>
        <w:spacing w:after="0" w:line="240" w:lineRule="auto"/>
      </w:pPr>
      <w:r w:rsidRPr="00674543">
        <w:separator/>
      </w:r>
    </w:p>
  </w:footnote>
  <w:footnote w:type="continuationSeparator" w:id="0">
    <w:p w14:paraId="50F13125" w14:textId="77777777" w:rsidR="00E20A24" w:rsidRPr="00674543" w:rsidRDefault="00E20A24">
      <w:pPr>
        <w:spacing w:after="0" w:line="240" w:lineRule="auto"/>
      </w:pPr>
      <w:r w:rsidRPr="00674543">
        <w:continuationSeparator/>
      </w:r>
    </w:p>
  </w:footnote>
  <w:footnote w:type="continuationNotice" w:id="1">
    <w:p w14:paraId="5C366476" w14:textId="77777777" w:rsidR="00E20A24" w:rsidRPr="00674543" w:rsidRDefault="00E20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D198" w14:textId="27D4CA9B" w:rsidR="00C03B9E" w:rsidRDefault="00C03B9E" w:rsidP="0047331E">
    <w:pPr>
      <w:pStyle w:val="Header"/>
      <w:tabs>
        <w:tab w:val="clear" w:pos="4513"/>
        <w:tab w:val="clear" w:pos="9026"/>
        <w:tab w:val="left" w:pos="1597"/>
        <w:tab w:val="left" w:pos="6471"/>
      </w:tabs>
    </w:pPr>
    <w:r>
      <w:rPr>
        <w:noProof/>
      </w:rPr>
      <w:drawing>
        <wp:inline distT="0" distB="0" distL="0" distR="0" wp14:anchorId="767F2B38" wp14:editId="7EDD74F6">
          <wp:extent cx="1295453" cy="778598"/>
          <wp:effectExtent l="0" t="0" r="0" b="0"/>
          <wp:docPr id="139324982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9823"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676" cy="782939"/>
                  </a:xfrm>
                  <a:prstGeom prst="rect">
                    <a:avLst/>
                  </a:prstGeom>
                  <a:noFill/>
                  <a:ln>
                    <a:noFill/>
                  </a:ln>
                </pic:spPr>
              </pic:pic>
            </a:graphicData>
          </a:graphic>
        </wp:inline>
      </w:drawing>
    </w:r>
    <w:r>
      <w:t xml:space="preserve"> </w:t>
    </w:r>
    <w:r>
      <w:rPr>
        <w:noProof/>
      </w:rPr>
      <w:drawing>
        <wp:inline distT="0" distB="0" distL="0" distR="0" wp14:anchorId="1A09E3F0" wp14:editId="42950769">
          <wp:extent cx="763929" cy="506367"/>
          <wp:effectExtent l="0" t="0" r="0" b="8255"/>
          <wp:docPr id="1330455061"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53639" name="Picture 1" descr="A blue flag with yellow stars&#10;&#10;AI-generated content may be incorrect."/>
                  <pic:cNvPicPr/>
                </pic:nvPicPr>
                <pic:blipFill rotWithShape="1">
                  <a:blip r:embed="rId2">
                    <a:extLst>
                      <a:ext uri="{28A0092B-C50C-407E-A947-70E740481C1C}">
                        <a14:useLocalDpi xmlns:a14="http://schemas.microsoft.com/office/drawing/2010/main" val="0"/>
                      </a:ext>
                    </a:extLst>
                  </a:blip>
                  <a:srcRect l="5001" t="20428" r="5560" b="20287"/>
                  <a:stretch>
                    <a:fillRect/>
                  </a:stretch>
                </pic:blipFill>
                <pic:spPr bwMode="auto">
                  <a:xfrm>
                    <a:off x="0" y="0"/>
                    <a:ext cx="796218" cy="527769"/>
                  </a:xfrm>
                  <a:prstGeom prst="rect">
                    <a:avLst/>
                  </a:prstGeom>
                  <a:ln>
                    <a:noFill/>
                  </a:ln>
                  <a:extLst>
                    <a:ext uri="{53640926-AAD7-44D8-BBD7-CCE9431645EC}">
                      <a14:shadowObscured xmlns:a14="http://schemas.microsoft.com/office/drawing/2010/main"/>
                    </a:ext>
                  </a:extLst>
                </pic:spPr>
              </pic:pic>
            </a:graphicData>
          </a:graphic>
        </wp:inline>
      </w:drawing>
    </w:r>
    <w:r>
      <w:tab/>
    </w:r>
    <w:r w:rsidR="0047331E">
      <w:t xml:space="preserve">                                </w:t>
    </w:r>
    <w:r w:rsidRPr="00674543">
      <w:rPr>
        <w:noProof/>
      </w:rPr>
      <w:drawing>
        <wp:inline distT="0" distB="0" distL="0" distR="0" wp14:anchorId="43642BD5" wp14:editId="410DBF0D">
          <wp:extent cx="752354" cy="641751"/>
          <wp:effectExtent l="0" t="0" r="0" b="6350"/>
          <wp:docPr id="1897656280" name="Picture 1" descr="A logo with a map of af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 descr="A logo with a map of africa&#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775001" cy="661069"/>
                  </a:xfrm>
                  <a:prstGeom prst="rect">
                    <a:avLst/>
                  </a:prstGeom>
                </pic:spPr>
              </pic:pic>
            </a:graphicData>
          </a:graphic>
        </wp:inline>
      </w:drawing>
    </w:r>
  </w:p>
  <w:p w14:paraId="6062B31C" w14:textId="1DB8FBD1" w:rsidR="00363729" w:rsidRPr="00674543" w:rsidRDefault="00C03B9E" w:rsidP="00C03B9E">
    <w:pPr>
      <w:pStyle w:val="Header"/>
      <w:tabs>
        <w:tab w:val="left" w:pos="1597"/>
        <w:tab w:val="right" w:pos="93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5DB"/>
    <w:multiLevelType w:val="hybridMultilevel"/>
    <w:tmpl w:val="C908D49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7352F2A"/>
    <w:multiLevelType w:val="multilevel"/>
    <w:tmpl w:val="47E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0A33"/>
    <w:multiLevelType w:val="hybridMultilevel"/>
    <w:tmpl w:val="F60E3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228A1"/>
    <w:multiLevelType w:val="hybridMultilevel"/>
    <w:tmpl w:val="DA50DAC0"/>
    <w:lvl w:ilvl="0" w:tplc="EF24F964">
      <w:start w:val="5"/>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95505C"/>
    <w:multiLevelType w:val="hybridMultilevel"/>
    <w:tmpl w:val="62165D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185735B"/>
    <w:multiLevelType w:val="hybridMultilevel"/>
    <w:tmpl w:val="7C6A7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245672"/>
    <w:multiLevelType w:val="hybridMultilevel"/>
    <w:tmpl w:val="3E6AB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34669"/>
    <w:multiLevelType w:val="hybridMultilevel"/>
    <w:tmpl w:val="E18E9534"/>
    <w:lvl w:ilvl="0" w:tplc="BC8E13D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F0289C"/>
    <w:multiLevelType w:val="hybridMultilevel"/>
    <w:tmpl w:val="5068375E"/>
    <w:lvl w:ilvl="0" w:tplc="EF24F964">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15485B"/>
    <w:multiLevelType w:val="multilevel"/>
    <w:tmpl w:val="241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466E24A4"/>
    <w:multiLevelType w:val="hybridMultilevel"/>
    <w:tmpl w:val="7944CAE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702651"/>
    <w:multiLevelType w:val="hybridMultilevel"/>
    <w:tmpl w:val="6E7E5C8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0F80796"/>
    <w:multiLevelType w:val="hybridMultilevel"/>
    <w:tmpl w:val="0FB8593C"/>
    <w:lvl w:ilvl="0" w:tplc="EF24F964">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B046133"/>
    <w:multiLevelType w:val="multilevel"/>
    <w:tmpl w:val="53E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60C07FD0"/>
    <w:multiLevelType w:val="hybridMultilevel"/>
    <w:tmpl w:val="256645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624B27F9"/>
    <w:multiLevelType w:val="hybridMultilevel"/>
    <w:tmpl w:val="50ECFC50"/>
    <w:lvl w:ilvl="0" w:tplc="4B043A44">
      <w:start w:val="1"/>
      <w:numFmt w:val="bullet"/>
      <w:lvlText w:val="•"/>
      <w:lvlJc w:val="left"/>
      <w:pPr>
        <w:tabs>
          <w:tab w:val="num" w:pos="720"/>
        </w:tabs>
        <w:ind w:left="720" w:hanging="360"/>
      </w:pPr>
      <w:rPr>
        <w:rFonts w:ascii="Arial" w:hAnsi="Arial" w:hint="default"/>
      </w:rPr>
    </w:lvl>
    <w:lvl w:ilvl="1" w:tplc="D5DA94D4" w:tentative="1">
      <w:start w:val="1"/>
      <w:numFmt w:val="bullet"/>
      <w:lvlText w:val="•"/>
      <w:lvlJc w:val="left"/>
      <w:pPr>
        <w:tabs>
          <w:tab w:val="num" w:pos="1440"/>
        </w:tabs>
        <w:ind w:left="1440" w:hanging="360"/>
      </w:pPr>
      <w:rPr>
        <w:rFonts w:ascii="Arial" w:hAnsi="Arial" w:hint="default"/>
      </w:rPr>
    </w:lvl>
    <w:lvl w:ilvl="2" w:tplc="211691DE" w:tentative="1">
      <w:start w:val="1"/>
      <w:numFmt w:val="bullet"/>
      <w:lvlText w:val="•"/>
      <w:lvlJc w:val="left"/>
      <w:pPr>
        <w:tabs>
          <w:tab w:val="num" w:pos="2160"/>
        </w:tabs>
        <w:ind w:left="2160" w:hanging="360"/>
      </w:pPr>
      <w:rPr>
        <w:rFonts w:ascii="Arial" w:hAnsi="Arial" w:hint="default"/>
      </w:rPr>
    </w:lvl>
    <w:lvl w:ilvl="3" w:tplc="71566116" w:tentative="1">
      <w:start w:val="1"/>
      <w:numFmt w:val="bullet"/>
      <w:lvlText w:val="•"/>
      <w:lvlJc w:val="left"/>
      <w:pPr>
        <w:tabs>
          <w:tab w:val="num" w:pos="2880"/>
        </w:tabs>
        <w:ind w:left="2880" w:hanging="360"/>
      </w:pPr>
      <w:rPr>
        <w:rFonts w:ascii="Arial" w:hAnsi="Arial" w:hint="default"/>
      </w:rPr>
    </w:lvl>
    <w:lvl w:ilvl="4" w:tplc="F04C5954" w:tentative="1">
      <w:start w:val="1"/>
      <w:numFmt w:val="bullet"/>
      <w:lvlText w:val="•"/>
      <w:lvlJc w:val="left"/>
      <w:pPr>
        <w:tabs>
          <w:tab w:val="num" w:pos="3600"/>
        </w:tabs>
        <w:ind w:left="3600" w:hanging="360"/>
      </w:pPr>
      <w:rPr>
        <w:rFonts w:ascii="Arial" w:hAnsi="Arial" w:hint="default"/>
      </w:rPr>
    </w:lvl>
    <w:lvl w:ilvl="5" w:tplc="8662F386" w:tentative="1">
      <w:start w:val="1"/>
      <w:numFmt w:val="bullet"/>
      <w:lvlText w:val="•"/>
      <w:lvlJc w:val="left"/>
      <w:pPr>
        <w:tabs>
          <w:tab w:val="num" w:pos="4320"/>
        </w:tabs>
        <w:ind w:left="4320" w:hanging="360"/>
      </w:pPr>
      <w:rPr>
        <w:rFonts w:ascii="Arial" w:hAnsi="Arial" w:hint="default"/>
      </w:rPr>
    </w:lvl>
    <w:lvl w:ilvl="6" w:tplc="0A34B20C" w:tentative="1">
      <w:start w:val="1"/>
      <w:numFmt w:val="bullet"/>
      <w:lvlText w:val="•"/>
      <w:lvlJc w:val="left"/>
      <w:pPr>
        <w:tabs>
          <w:tab w:val="num" w:pos="5040"/>
        </w:tabs>
        <w:ind w:left="5040" w:hanging="360"/>
      </w:pPr>
      <w:rPr>
        <w:rFonts w:ascii="Arial" w:hAnsi="Arial" w:hint="default"/>
      </w:rPr>
    </w:lvl>
    <w:lvl w:ilvl="7" w:tplc="220A20FC" w:tentative="1">
      <w:start w:val="1"/>
      <w:numFmt w:val="bullet"/>
      <w:lvlText w:val="•"/>
      <w:lvlJc w:val="left"/>
      <w:pPr>
        <w:tabs>
          <w:tab w:val="num" w:pos="5760"/>
        </w:tabs>
        <w:ind w:left="5760" w:hanging="360"/>
      </w:pPr>
      <w:rPr>
        <w:rFonts w:ascii="Arial" w:hAnsi="Arial" w:hint="default"/>
      </w:rPr>
    </w:lvl>
    <w:lvl w:ilvl="8" w:tplc="DC680D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9B6BD7"/>
    <w:multiLevelType w:val="hybridMultilevel"/>
    <w:tmpl w:val="08B8D1DC"/>
    <w:lvl w:ilvl="0" w:tplc="BD7CBEB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D2B4F05"/>
    <w:multiLevelType w:val="hybridMultilevel"/>
    <w:tmpl w:val="6ED2D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5517E5"/>
    <w:multiLevelType w:val="hybridMultilevel"/>
    <w:tmpl w:val="E0D863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54A5842"/>
    <w:multiLevelType w:val="hybridMultilevel"/>
    <w:tmpl w:val="77C06936"/>
    <w:lvl w:ilvl="0" w:tplc="EF24F964">
      <w:start w:val="5"/>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788547D2"/>
    <w:multiLevelType w:val="hybridMultilevel"/>
    <w:tmpl w:val="1BF00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5414144">
    <w:abstractNumId w:val="14"/>
  </w:num>
  <w:num w:numId="2" w16cid:durableId="390152176">
    <w:abstractNumId w:val="4"/>
  </w:num>
  <w:num w:numId="3" w16cid:durableId="1648590634">
    <w:abstractNumId w:val="20"/>
  </w:num>
  <w:num w:numId="4" w16cid:durableId="1815482256">
    <w:abstractNumId w:val="30"/>
  </w:num>
  <w:num w:numId="5" w16cid:durableId="799152830">
    <w:abstractNumId w:val="11"/>
  </w:num>
  <w:num w:numId="6" w16cid:durableId="1740516456">
    <w:abstractNumId w:val="25"/>
  </w:num>
  <w:num w:numId="7" w16cid:durableId="935552207">
    <w:abstractNumId w:val="12"/>
  </w:num>
  <w:num w:numId="8" w16cid:durableId="56517229">
    <w:abstractNumId w:val="21"/>
  </w:num>
  <w:num w:numId="9" w16cid:durableId="1011492222">
    <w:abstractNumId w:val="8"/>
  </w:num>
  <w:num w:numId="10" w16cid:durableId="260920905">
    <w:abstractNumId w:val="1"/>
  </w:num>
  <w:num w:numId="11" w16cid:durableId="1828201377">
    <w:abstractNumId w:val="7"/>
  </w:num>
  <w:num w:numId="12" w16cid:durableId="1261570313">
    <w:abstractNumId w:val="18"/>
  </w:num>
  <w:num w:numId="13" w16cid:durableId="1135562000">
    <w:abstractNumId w:val="27"/>
  </w:num>
  <w:num w:numId="14" w16cid:durableId="2129083411">
    <w:abstractNumId w:val="26"/>
  </w:num>
  <w:num w:numId="15" w16cid:durableId="1607883888">
    <w:abstractNumId w:val="33"/>
  </w:num>
  <w:num w:numId="16" w16cid:durableId="5792789">
    <w:abstractNumId w:val="13"/>
  </w:num>
  <w:num w:numId="17" w16cid:durableId="583614602">
    <w:abstractNumId w:val="9"/>
  </w:num>
  <w:num w:numId="18" w16cid:durableId="912277278">
    <w:abstractNumId w:val="10"/>
  </w:num>
  <w:num w:numId="19" w16cid:durableId="1511019869">
    <w:abstractNumId w:val="6"/>
  </w:num>
  <w:num w:numId="20" w16cid:durableId="127943490">
    <w:abstractNumId w:val="23"/>
  </w:num>
  <w:num w:numId="21" w16cid:durableId="950474272">
    <w:abstractNumId w:val="3"/>
  </w:num>
  <w:num w:numId="22" w16cid:durableId="2025665310">
    <w:abstractNumId w:val="16"/>
  </w:num>
  <w:num w:numId="23" w16cid:durableId="495001728">
    <w:abstractNumId w:val="32"/>
  </w:num>
  <w:num w:numId="24" w16cid:durableId="526067053">
    <w:abstractNumId w:val="31"/>
  </w:num>
  <w:num w:numId="25" w16cid:durableId="728959341">
    <w:abstractNumId w:val="15"/>
  </w:num>
  <w:num w:numId="26" w16cid:durableId="67773224">
    <w:abstractNumId w:val="0"/>
  </w:num>
  <w:num w:numId="27" w16cid:durableId="1452825767">
    <w:abstractNumId w:val="24"/>
  </w:num>
  <w:num w:numId="28" w16cid:durableId="2047875494">
    <w:abstractNumId w:val="2"/>
  </w:num>
  <w:num w:numId="29" w16cid:durableId="2145922277">
    <w:abstractNumId w:val="5"/>
  </w:num>
  <w:num w:numId="30" w16cid:durableId="1413576274">
    <w:abstractNumId w:val="17"/>
  </w:num>
  <w:num w:numId="31" w16cid:durableId="680202413">
    <w:abstractNumId w:val="29"/>
  </w:num>
  <w:num w:numId="32" w16cid:durableId="1575505857">
    <w:abstractNumId w:val="28"/>
  </w:num>
  <w:num w:numId="33" w16cid:durableId="1349412014">
    <w:abstractNumId w:val="19"/>
  </w:num>
  <w:num w:numId="34" w16cid:durableId="9637345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63E1"/>
    <w:rsid w:val="00021A51"/>
    <w:rsid w:val="00035F2E"/>
    <w:rsid w:val="00040254"/>
    <w:rsid w:val="000420E1"/>
    <w:rsid w:val="0007530C"/>
    <w:rsid w:val="000850D8"/>
    <w:rsid w:val="00085442"/>
    <w:rsid w:val="000A3A85"/>
    <w:rsid w:val="000D73B5"/>
    <w:rsid w:val="000F3DDD"/>
    <w:rsid w:val="00112003"/>
    <w:rsid w:val="00124453"/>
    <w:rsid w:val="00170EE6"/>
    <w:rsid w:val="001959DF"/>
    <w:rsid w:val="001A0AD7"/>
    <w:rsid w:val="001F422F"/>
    <w:rsid w:val="00227356"/>
    <w:rsid w:val="00232849"/>
    <w:rsid w:val="002578FD"/>
    <w:rsid w:val="00257D1A"/>
    <w:rsid w:val="00262271"/>
    <w:rsid w:val="00267E51"/>
    <w:rsid w:val="002A48F0"/>
    <w:rsid w:val="002C48B4"/>
    <w:rsid w:val="002E7DA4"/>
    <w:rsid w:val="00303B11"/>
    <w:rsid w:val="00305632"/>
    <w:rsid w:val="00305EA8"/>
    <w:rsid w:val="00305F0A"/>
    <w:rsid w:val="00310FD9"/>
    <w:rsid w:val="00314E92"/>
    <w:rsid w:val="00324D6C"/>
    <w:rsid w:val="0032722A"/>
    <w:rsid w:val="00340D75"/>
    <w:rsid w:val="00343986"/>
    <w:rsid w:val="0034593B"/>
    <w:rsid w:val="00363729"/>
    <w:rsid w:val="00365060"/>
    <w:rsid w:val="0038074A"/>
    <w:rsid w:val="003A126B"/>
    <w:rsid w:val="003A3A82"/>
    <w:rsid w:val="003B4907"/>
    <w:rsid w:val="003C6713"/>
    <w:rsid w:val="003F74B9"/>
    <w:rsid w:val="00412D52"/>
    <w:rsid w:val="004145B9"/>
    <w:rsid w:val="00423E2D"/>
    <w:rsid w:val="00462D67"/>
    <w:rsid w:val="00470C37"/>
    <w:rsid w:val="00472080"/>
    <w:rsid w:val="0047331E"/>
    <w:rsid w:val="00493DB9"/>
    <w:rsid w:val="004A3EB4"/>
    <w:rsid w:val="004A4039"/>
    <w:rsid w:val="004E55DF"/>
    <w:rsid w:val="00526746"/>
    <w:rsid w:val="005778B2"/>
    <w:rsid w:val="00591A27"/>
    <w:rsid w:val="00597E59"/>
    <w:rsid w:val="005A6DBC"/>
    <w:rsid w:val="005B534B"/>
    <w:rsid w:val="005B7F72"/>
    <w:rsid w:val="005F0278"/>
    <w:rsid w:val="005F124B"/>
    <w:rsid w:val="00600B56"/>
    <w:rsid w:val="00601554"/>
    <w:rsid w:val="006114E0"/>
    <w:rsid w:val="006120D0"/>
    <w:rsid w:val="00632588"/>
    <w:rsid w:val="0064660C"/>
    <w:rsid w:val="006529A5"/>
    <w:rsid w:val="00655282"/>
    <w:rsid w:val="00666E59"/>
    <w:rsid w:val="00674543"/>
    <w:rsid w:val="00676BCD"/>
    <w:rsid w:val="006841C8"/>
    <w:rsid w:val="006D0316"/>
    <w:rsid w:val="006E2733"/>
    <w:rsid w:val="006F1C40"/>
    <w:rsid w:val="00704856"/>
    <w:rsid w:val="007118A9"/>
    <w:rsid w:val="0074033C"/>
    <w:rsid w:val="00740458"/>
    <w:rsid w:val="00787AD6"/>
    <w:rsid w:val="007945E0"/>
    <w:rsid w:val="007A037A"/>
    <w:rsid w:val="007B20AC"/>
    <w:rsid w:val="007C69AF"/>
    <w:rsid w:val="007D1D9D"/>
    <w:rsid w:val="007D6A39"/>
    <w:rsid w:val="00801F71"/>
    <w:rsid w:val="00810823"/>
    <w:rsid w:val="00831F82"/>
    <w:rsid w:val="008810ED"/>
    <w:rsid w:val="00896702"/>
    <w:rsid w:val="008B22A2"/>
    <w:rsid w:val="008D3BA7"/>
    <w:rsid w:val="008D3BE8"/>
    <w:rsid w:val="008E3FC9"/>
    <w:rsid w:val="008E6B07"/>
    <w:rsid w:val="008E6F38"/>
    <w:rsid w:val="0090222B"/>
    <w:rsid w:val="00920C13"/>
    <w:rsid w:val="009217E2"/>
    <w:rsid w:val="0093051B"/>
    <w:rsid w:val="009563E2"/>
    <w:rsid w:val="0096050A"/>
    <w:rsid w:val="00964B46"/>
    <w:rsid w:val="009970CB"/>
    <w:rsid w:val="009A3988"/>
    <w:rsid w:val="009F447D"/>
    <w:rsid w:val="00A31066"/>
    <w:rsid w:val="00A32413"/>
    <w:rsid w:val="00A42E4A"/>
    <w:rsid w:val="00A52281"/>
    <w:rsid w:val="00A60773"/>
    <w:rsid w:val="00A67C5F"/>
    <w:rsid w:val="00A749ED"/>
    <w:rsid w:val="00A755EE"/>
    <w:rsid w:val="00A879EF"/>
    <w:rsid w:val="00AB1BC7"/>
    <w:rsid w:val="00AC6AF1"/>
    <w:rsid w:val="00AD2C15"/>
    <w:rsid w:val="00AF3F70"/>
    <w:rsid w:val="00B20154"/>
    <w:rsid w:val="00B367B6"/>
    <w:rsid w:val="00B46920"/>
    <w:rsid w:val="00B61311"/>
    <w:rsid w:val="00B810D4"/>
    <w:rsid w:val="00BA00EA"/>
    <w:rsid w:val="00BD500A"/>
    <w:rsid w:val="00BD5336"/>
    <w:rsid w:val="00C03B9E"/>
    <w:rsid w:val="00C143E7"/>
    <w:rsid w:val="00C70588"/>
    <w:rsid w:val="00C72211"/>
    <w:rsid w:val="00C84905"/>
    <w:rsid w:val="00C87D99"/>
    <w:rsid w:val="00C93989"/>
    <w:rsid w:val="00CB2071"/>
    <w:rsid w:val="00CB3EAF"/>
    <w:rsid w:val="00CB74E1"/>
    <w:rsid w:val="00CD52C8"/>
    <w:rsid w:val="00CE10CA"/>
    <w:rsid w:val="00CF783A"/>
    <w:rsid w:val="00D20153"/>
    <w:rsid w:val="00D235B9"/>
    <w:rsid w:val="00D31AA0"/>
    <w:rsid w:val="00D4604C"/>
    <w:rsid w:val="00D52DC8"/>
    <w:rsid w:val="00D57CC2"/>
    <w:rsid w:val="00D743F6"/>
    <w:rsid w:val="00D76E9A"/>
    <w:rsid w:val="00D942E6"/>
    <w:rsid w:val="00DB467B"/>
    <w:rsid w:val="00DE4FE8"/>
    <w:rsid w:val="00E055B4"/>
    <w:rsid w:val="00E20185"/>
    <w:rsid w:val="00E20A24"/>
    <w:rsid w:val="00E32CB1"/>
    <w:rsid w:val="00E40441"/>
    <w:rsid w:val="00E741F3"/>
    <w:rsid w:val="00EA49F6"/>
    <w:rsid w:val="00ED374F"/>
    <w:rsid w:val="00F238C9"/>
    <w:rsid w:val="00F3444D"/>
    <w:rsid w:val="00F40A8C"/>
    <w:rsid w:val="00F47E47"/>
    <w:rsid w:val="00F511DC"/>
    <w:rsid w:val="00F81BFB"/>
    <w:rsid w:val="00F95745"/>
    <w:rsid w:val="00FC0C96"/>
    <w:rsid w:val="00FD1665"/>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uiPriority w:val="34"/>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me.nzoyihera@trademarkaf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685</Words>
  <Characters>3910</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Shiro Mbiruru</cp:lastModifiedBy>
  <cp:revision>12</cp:revision>
  <dcterms:created xsi:type="dcterms:W3CDTF">2026-03-07T19:08:00Z</dcterms:created>
  <dcterms:modified xsi:type="dcterms:W3CDTF">2026-04-19T12:32:00Z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f3216ae6-fdd1-45e0-9ab5-bcdab179350c</vt:lpwstr>
  </property>
</Properties>
</file>