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693" w14:textId="77777777" w:rsidR="002C36BF" w:rsidRPr="00144848" w:rsidRDefault="002C36BF" w:rsidP="002A0F77">
      <w:pPr>
        <w:jc w:val="center"/>
        <w:rPr>
          <w:b/>
          <w:bCs/>
        </w:rPr>
      </w:pPr>
      <w:r w:rsidRPr="00144848">
        <w:rPr>
          <w:b/>
          <w:bCs/>
        </w:rPr>
        <w:t>PROJECT FACTSHEET</w:t>
      </w:r>
    </w:p>
    <w:p w14:paraId="0B737916" w14:textId="77777777" w:rsidR="00144848" w:rsidRPr="00144848" w:rsidRDefault="00144848" w:rsidP="00144848">
      <w:pPr>
        <w:jc w:val="center"/>
        <w:rPr>
          <w:b/>
          <w:bCs/>
          <w:lang w:val="en-KE"/>
        </w:rPr>
      </w:pPr>
      <w:r w:rsidRPr="00144848">
        <w:rPr>
          <w:b/>
          <w:bCs/>
          <w:lang w:val="en-KE"/>
        </w:rPr>
        <w:t>Dar es Salaam Port Modernisation and Efficiency Project</w:t>
      </w:r>
    </w:p>
    <w:tbl>
      <w:tblPr>
        <w:tblStyle w:val="GridTable4-Accent5"/>
        <w:tblW w:w="9926" w:type="dxa"/>
        <w:tblLook w:val="04A0" w:firstRow="1" w:lastRow="0" w:firstColumn="1" w:lastColumn="0" w:noHBand="0" w:noVBand="1"/>
      </w:tblPr>
      <w:tblGrid>
        <w:gridCol w:w="2410"/>
        <w:gridCol w:w="7516"/>
      </w:tblGrid>
      <w:tr w:rsidR="002C36BF" w:rsidRPr="00303B11" w14:paraId="638127BD" w14:textId="77777777" w:rsidTr="00432C8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10" w:type="dxa"/>
          </w:tcPr>
          <w:p w14:paraId="4F10BA0F" w14:textId="77777777" w:rsidR="002C36BF" w:rsidRPr="00303B11" w:rsidRDefault="002C36BF" w:rsidP="00432C8C">
            <w:pPr>
              <w:pStyle w:val="NoSpacing"/>
              <w:rPr>
                <w:rFonts w:ascii="Calibri" w:hAnsi="Calibri" w:cs="Calibri"/>
                <w:sz w:val="22"/>
                <w:szCs w:val="22"/>
              </w:rPr>
            </w:pPr>
            <w:r w:rsidRPr="00303B11">
              <w:rPr>
                <w:rFonts w:ascii="Calibri" w:hAnsi="Calibri" w:cs="Calibri"/>
                <w:sz w:val="22"/>
                <w:szCs w:val="22"/>
              </w:rPr>
              <w:t>Project Title</w:t>
            </w:r>
          </w:p>
        </w:tc>
        <w:tc>
          <w:tcPr>
            <w:tcW w:w="7516" w:type="dxa"/>
          </w:tcPr>
          <w:p w14:paraId="4FBEBDB8" w14:textId="77777777" w:rsidR="002C36BF" w:rsidRPr="00303B11" w:rsidRDefault="002C36BF" w:rsidP="00432C8C">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 xml:space="preserve">Tanzania Trade and Transport Improvement Programme </w:t>
            </w:r>
          </w:p>
        </w:tc>
      </w:tr>
      <w:tr w:rsidR="002C36BF" w:rsidRPr="00303B11" w14:paraId="4EB7E109" w14:textId="77777777" w:rsidTr="00432C8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410" w:type="dxa"/>
          </w:tcPr>
          <w:p w14:paraId="6CDE6D13" w14:textId="77777777" w:rsidR="002C36BF" w:rsidRPr="00303B11" w:rsidRDefault="002C36BF" w:rsidP="00432C8C">
            <w:pPr>
              <w:pStyle w:val="NoSpacing"/>
              <w:rPr>
                <w:rFonts w:ascii="Calibri" w:hAnsi="Calibri" w:cs="Calibri"/>
                <w:sz w:val="22"/>
                <w:szCs w:val="22"/>
              </w:rPr>
            </w:pPr>
            <w:r w:rsidRPr="00303B11">
              <w:rPr>
                <w:rFonts w:ascii="Calibri" w:hAnsi="Calibri" w:cs="Calibri"/>
                <w:sz w:val="22"/>
                <w:szCs w:val="22"/>
              </w:rPr>
              <w:t>Project Leads</w:t>
            </w:r>
          </w:p>
        </w:tc>
        <w:tc>
          <w:tcPr>
            <w:tcW w:w="7516" w:type="dxa"/>
          </w:tcPr>
          <w:p w14:paraId="2C0B75ED" w14:textId="73416190" w:rsidR="002C36BF" w:rsidRPr="002A0F77" w:rsidRDefault="002A0F77" w:rsidP="002A0F77">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KE"/>
              </w:rPr>
            </w:pPr>
            <w:r w:rsidRPr="002A0F77">
              <w:rPr>
                <w:rFonts w:ascii="Calibri" w:hAnsi="Calibri" w:cs="Calibri"/>
                <w:lang w:val="en-KE"/>
              </w:rPr>
              <w:t xml:space="preserve">TradeMark Africa, in partnership with the Government of Tanzania </w:t>
            </w:r>
            <w:r>
              <w:rPr>
                <w:rFonts w:ascii="Calibri" w:hAnsi="Calibri" w:cs="Calibri"/>
                <w:lang w:val="en-KE"/>
              </w:rPr>
              <w:t xml:space="preserve">– Ministry of Transport and </w:t>
            </w:r>
            <w:r w:rsidR="002C36BF" w:rsidRPr="00303B11">
              <w:rPr>
                <w:rFonts w:ascii="Calibri" w:hAnsi="Calibri" w:cs="Calibri"/>
                <w:sz w:val="22"/>
                <w:szCs w:val="22"/>
              </w:rPr>
              <w:t>Tanzania Ports Authority</w:t>
            </w:r>
            <w:r>
              <w:rPr>
                <w:rFonts w:ascii="Calibri" w:hAnsi="Calibri" w:cs="Calibri"/>
                <w:sz w:val="22"/>
                <w:szCs w:val="22"/>
              </w:rPr>
              <w:t xml:space="preserve">, </w:t>
            </w:r>
          </w:p>
        </w:tc>
      </w:tr>
      <w:tr w:rsidR="002C36BF" w:rsidRPr="00303B11" w14:paraId="6218DC0A" w14:textId="77777777" w:rsidTr="00432C8C">
        <w:trPr>
          <w:trHeight w:val="350"/>
        </w:trPr>
        <w:tc>
          <w:tcPr>
            <w:cnfStyle w:val="001000000000" w:firstRow="0" w:lastRow="0" w:firstColumn="1" w:lastColumn="0" w:oddVBand="0" w:evenVBand="0" w:oddHBand="0" w:evenHBand="0" w:firstRowFirstColumn="0" w:firstRowLastColumn="0" w:lastRowFirstColumn="0" w:lastRowLastColumn="0"/>
            <w:tcW w:w="2410" w:type="dxa"/>
          </w:tcPr>
          <w:p w14:paraId="7F40EB3C" w14:textId="77777777" w:rsidR="002C36BF" w:rsidRPr="00303B11" w:rsidRDefault="002C36BF" w:rsidP="00432C8C">
            <w:pPr>
              <w:pStyle w:val="NoSpacing"/>
              <w:rPr>
                <w:rFonts w:ascii="Calibri" w:hAnsi="Calibri" w:cs="Calibri"/>
                <w:sz w:val="22"/>
                <w:szCs w:val="22"/>
              </w:rPr>
            </w:pPr>
            <w:r w:rsidRPr="00303B11">
              <w:rPr>
                <w:rFonts w:ascii="Calibri" w:hAnsi="Calibri" w:cs="Calibri"/>
                <w:sz w:val="22"/>
                <w:szCs w:val="22"/>
              </w:rPr>
              <w:t xml:space="preserve">Funding </w:t>
            </w:r>
          </w:p>
        </w:tc>
        <w:tc>
          <w:tcPr>
            <w:tcW w:w="7516" w:type="dxa"/>
          </w:tcPr>
          <w:p w14:paraId="788D5C3F" w14:textId="76E756DC" w:rsidR="002C36BF" w:rsidRPr="00303B11" w:rsidRDefault="002C36BF" w:rsidP="00432C8C">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 xml:space="preserve">European Union </w:t>
            </w:r>
            <w:r w:rsidR="002A0F77">
              <w:rPr>
                <w:rFonts w:ascii="Calibri" w:hAnsi="Calibri" w:cs="Calibri"/>
                <w:sz w:val="22"/>
                <w:szCs w:val="22"/>
              </w:rPr>
              <w:t xml:space="preserve">- </w:t>
            </w:r>
            <w:r w:rsidRPr="00303B11">
              <w:rPr>
                <w:rFonts w:ascii="Calibri" w:hAnsi="Calibri" w:cs="Calibri"/>
                <w:sz w:val="22"/>
                <w:szCs w:val="22"/>
              </w:rPr>
              <w:t>Global Gateway</w:t>
            </w:r>
            <w:r w:rsidR="002A0F77">
              <w:rPr>
                <w:rFonts w:ascii="Calibri" w:hAnsi="Calibri" w:cs="Calibri"/>
                <w:sz w:val="22"/>
                <w:szCs w:val="22"/>
              </w:rPr>
              <w:t xml:space="preserve"> Initiative</w:t>
            </w:r>
          </w:p>
        </w:tc>
      </w:tr>
      <w:tr w:rsidR="002C36BF" w:rsidRPr="00303B11" w14:paraId="34759883" w14:textId="77777777" w:rsidTr="00432C8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410" w:type="dxa"/>
          </w:tcPr>
          <w:p w14:paraId="6EBE4EE9" w14:textId="77777777" w:rsidR="002C36BF" w:rsidRPr="00303B11" w:rsidRDefault="002C36BF" w:rsidP="00432C8C">
            <w:pPr>
              <w:pStyle w:val="NoSpacing"/>
              <w:rPr>
                <w:rFonts w:ascii="Calibri" w:hAnsi="Calibri" w:cs="Calibri"/>
                <w:sz w:val="22"/>
                <w:szCs w:val="22"/>
              </w:rPr>
            </w:pPr>
            <w:r w:rsidRPr="00303B11">
              <w:rPr>
                <w:rFonts w:ascii="Calibri" w:hAnsi="Calibri" w:cs="Calibri"/>
                <w:sz w:val="22"/>
                <w:szCs w:val="22"/>
              </w:rPr>
              <w:t>Value (in EUR)</w:t>
            </w:r>
          </w:p>
        </w:tc>
        <w:tc>
          <w:tcPr>
            <w:tcW w:w="7516" w:type="dxa"/>
          </w:tcPr>
          <w:p w14:paraId="15E63456" w14:textId="77777777" w:rsidR="002C36BF" w:rsidRPr="00303B11" w:rsidRDefault="002C36BF"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Programme Value - €15 million</w:t>
            </w:r>
          </w:p>
          <w:p w14:paraId="3B728C1A" w14:textId="39A683E9" w:rsidR="002C36BF" w:rsidRPr="002A0F77" w:rsidRDefault="002C36BF" w:rsidP="002A0F77">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lang w:val="en-KE"/>
              </w:rPr>
            </w:pPr>
            <w:r w:rsidRPr="00303B11">
              <w:rPr>
                <w:rFonts w:ascii="Calibri" w:hAnsi="Calibri" w:cs="Calibri"/>
                <w:sz w:val="22"/>
                <w:szCs w:val="22"/>
              </w:rPr>
              <w:t xml:space="preserve">€4.2 </w:t>
            </w:r>
            <w:r w:rsidR="002A0F77" w:rsidRPr="002A0F77">
              <w:rPr>
                <w:rFonts w:ascii="Calibri" w:hAnsi="Calibri" w:cs="Calibri"/>
                <w:lang w:val="en-KE"/>
              </w:rPr>
              <w:t>million (TMA</w:t>
            </w:r>
            <w:r w:rsidR="002A0F77" w:rsidRPr="002A0F77">
              <w:rPr>
                <w:rFonts w:ascii="Calibri" w:hAnsi="Calibri" w:cs="Calibri"/>
                <w:lang w:val="en-KE"/>
              </w:rPr>
              <w:noBreakHyphen/>
              <w:t>managed component</w:t>
            </w:r>
            <w:r w:rsidR="002A0F77">
              <w:rPr>
                <w:rFonts w:ascii="Calibri" w:hAnsi="Calibri" w:cs="Calibri"/>
                <w:lang w:val="en-KE"/>
              </w:rPr>
              <w:t>)</w:t>
            </w:r>
          </w:p>
        </w:tc>
      </w:tr>
      <w:tr w:rsidR="002C36BF" w:rsidRPr="00303B11" w14:paraId="2CEDB486" w14:textId="77777777" w:rsidTr="00432C8C">
        <w:trPr>
          <w:trHeight w:val="332"/>
        </w:trPr>
        <w:tc>
          <w:tcPr>
            <w:cnfStyle w:val="001000000000" w:firstRow="0" w:lastRow="0" w:firstColumn="1" w:lastColumn="0" w:oddVBand="0" w:evenVBand="0" w:oddHBand="0" w:evenHBand="0" w:firstRowFirstColumn="0" w:firstRowLastColumn="0" w:lastRowFirstColumn="0" w:lastRowLastColumn="0"/>
            <w:tcW w:w="2410" w:type="dxa"/>
          </w:tcPr>
          <w:p w14:paraId="1E68B5FB" w14:textId="77777777" w:rsidR="002C36BF" w:rsidRPr="00303B11" w:rsidRDefault="002C36BF" w:rsidP="00432C8C">
            <w:pPr>
              <w:pStyle w:val="NoSpacing"/>
              <w:rPr>
                <w:rFonts w:ascii="Calibri" w:hAnsi="Calibri" w:cs="Calibri"/>
                <w:sz w:val="22"/>
                <w:szCs w:val="22"/>
              </w:rPr>
            </w:pPr>
            <w:r w:rsidRPr="00303B11">
              <w:rPr>
                <w:rFonts w:ascii="Calibri" w:hAnsi="Calibri" w:cs="Calibri"/>
                <w:sz w:val="22"/>
                <w:szCs w:val="22"/>
              </w:rPr>
              <w:t>Implementation Period</w:t>
            </w:r>
          </w:p>
        </w:tc>
        <w:tc>
          <w:tcPr>
            <w:tcW w:w="7516" w:type="dxa"/>
          </w:tcPr>
          <w:p w14:paraId="321A103D" w14:textId="77777777" w:rsidR="002C36BF" w:rsidRPr="00303B11" w:rsidRDefault="002C36BF" w:rsidP="00432C8C">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2025 – 2029</w:t>
            </w:r>
          </w:p>
        </w:tc>
      </w:tr>
      <w:tr w:rsidR="002C36BF" w:rsidRPr="00303B11" w14:paraId="6867BCA8" w14:textId="77777777" w:rsidTr="00432C8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410" w:type="dxa"/>
          </w:tcPr>
          <w:p w14:paraId="363353A5" w14:textId="77777777" w:rsidR="002C36BF" w:rsidRPr="00303B11" w:rsidRDefault="002C36BF" w:rsidP="00432C8C">
            <w:pPr>
              <w:pStyle w:val="NoSpacing"/>
              <w:rPr>
                <w:rFonts w:ascii="Calibri" w:hAnsi="Calibri" w:cs="Calibri"/>
                <w:sz w:val="22"/>
                <w:szCs w:val="22"/>
              </w:rPr>
            </w:pPr>
            <w:r w:rsidRPr="00303B11">
              <w:rPr>
                <w:rFonts w:ascii="Calibri" w:hAnsi="Calibri" w:cs="Calibri"/>
                <w:sz w:val="22"/>
                <w:szCs w:val="22"/>
              </w:rPr>
              <w:t>Project Partners</w:t>
            </w:r>
          </w:p>
        </w:tc>
        <w:tc>
          <w:tcPr>
            <w:tcW w:w="7516" w:type="dxa"/>
          </w:tcPr>
          <w:p w14:paraId="6A1CA80C" w14:textId="77777777" w:rsidR="002C36BF" w:rsidRPr="00303B11" w:rsidRDefault="002C36BF"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 xml:space="preserve">Tanzania Ports Authority (TPA), Ministry of Transport, Enabel, Port of Antwerp International, and UN-Habitat, </w:t>
            </w:r>
          </w:p>
        </w:tc>
      </w:tr>
      <w:tr w:rsidR="002C36BF" w:rsidRPr="00303B11" w14:paraId="54DCF1E1" w14:textId="77777777" w:rsidTr="00432C8C">
        <w:trPr>
          <w:trHeight w:val="632"/>
        </w:trPr>
        <w:tc>
          <w:tcPr>
            <w:cnfStyle w:val="001000000000" w:firstRow="0" w:lastRow="0" w:firstColumn="1" w:lastColumn="0" w:oddVBand="0" w:evenVBand="0" w:oddHBand="0" w:evenHBand="0" w:firstRowFirstColumn="0" w:firstRowLastColumn="0" w:lastRowFirstColumn="0" w:lastRowLastColumn="0"/>
            <w:tcW w:w="2410" w:type="dxa"/>
          </w:tcPr>
          <w:p w14:paraId="6EBD733D" w14:textId="77777777" w:rsidR="002C36BF" w:rsidRPr="00303B11" w:rsidRDefault="002C36BF" w:rsidP="00432C8C">
            <w:pPr>
              <w:pStyle w:val="NoSpacing"/>
              <w:rPr>
                <w:rFonts w:ascii="Calibri" w:hAnsi="Calibri" w:cs="Calibri"/>
                <w:sz w:val="22"/>
                <w:szCs w:val="22"/>
              </w:rPr>
            </w:pPr>
            <w:r w:rsidRPr="00303B11">
              <w:rPr>
                <w:rFonts w:ascii="Calibri" w:hAnsi="Calibri" w:cs="Calibri"/>
                <w:sz w:val="22"/>
                <w:szCs w:val="22"/>
              </w:rPr>
              <w:t xml:space="preserve">Project Participants </w:t>
            </w:r>
          </w:p>
        </w:tc>
        <w:tc>
          <w:tcPr>
            <w:tcW w:w="7516" w:type="dxa"/>
          </w:tcPr>
          <w:p w14:paraId="74FACED0" w14:textId="77777777" w:rsidR="002C36BF" w:rsidRPr="00303B11" w:rsidRDefault="002C36BF" w:rsidP="00432C8C">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Traders, exporters, importers, and logistics service providers using the Dar and Central Corridors; government border agencies; cold-chain operators</w:t>
            </w:r>
          </w:p>
        </w:tc>
      </w:tr>
      <w:tr w:rsidR="002C36BF" w:rsidRPr="00303B11" w14:paraId="6B2BE04F" w14:textId="77777777" w:rsidTr="00432C8C">
        <w:trPr>
          <w:cnfStyle w:val="000000100000" w:firstRow="0" w:lastRow="0" w:firstColumn="0" w:lastColumn="0" w:oddVBand="0" w:evenVBand="0" w:oddHBand="1" w:evenHBand="0" w:firstRowFirstColumn="0" w:firstRowLastColumn="0" w:lastRowFirstColumn="0" w:lastRowLastColumn="0"/>
          <w:trHeight w:val="2021"/>
        </w:trPr>
        <w:tc>
          <w:tcPr>
            <w:cnfStyle w:val="001000000000" w:firstRow="0" w:lastRow="0" w:firstColumn="1" w:lastColumn="0" w:oddVBand="0" w:evenVBand="0" w:oddHBand="0" w:evenHBand="0" w:firstRowFirstColumn="0" w:firstRowLastColumn="0" w:lastRowFirstColumn="0" w:lastRowLastColumn="0"/>
            <w:tcW w:w="2410" w:type="dxa"/>
          </w:tcPr>
          <w:p w14:paraId="3B38295E" w14:textId="77777777" w:rsidR="002C36BF" w:rsidRPr="00303B11" w:rsidRDefault="002C36BF" w:rsidP="00432C8C">
            <w:pPr>
              <w:pStyle w:val="NoSpacing"/>
              <w:rPr>
                <w:rFonts w:ascii="Calibri" w:hAnsi="Calibri" w:cs="Calibri"/>
                <w:sz w:val="22"/>
                <w:szCs w:val="22"/>
              </w:rPr>
            </w:pPr>
            <w:r w:rsidRPr="00303B11">
              <w:rPr>
                <w:rFonts w:ascii="Calibri" w:hAnsi="Calibri" w:cs="Calibri"/>
                <w:sz w:val="22"/>
                <w:szCs w:val="22"/>
              </w:rPr>
              <w:t>Project Rationale (why this project matters)</w:t>
            </w:r>
          </w:p>
        </w:tc>
        <w:tc>
          <w:tcPr>
            <w:tcW w:w="7516" w:type="dxa"/>
          </w:tcPr>
          <w:p w14:paraId="551291C3" w14:textId="523FB06A" w:rsidR="002C36BF" w:rsidRDefault="002C36BF" w:rsidP="0004009F">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The Port of Dar es Salaam, which serves as Tanzania's main maritime gateway, handles over 18 million tonnes of cargo annually. It also serves six landlocked nations: Malawi, Zambia, Uganda, Rwanda, Burundi, and the eastern Democratic Republic of Congo (TPA, 2024). Despite its strategic importance, the port faces significant operational challenges. The average cargo dwell time is between 9 and 12 days, more than double the global benchmark of under 4 days (World Bank, 2023). This inefficiency is compounded by fragmented customs systems and limited cold-chain facilities. As a result, trade costs are inflated by 20–40% (OECD, 2023), and horticultural exports lose a substantial 30–50% of their value due to delays (FAO, 2022).</w:t>
            </w:r>
            <w:r w:rsidR="00A1759B">
              <w:rPr>
                <w:rFonts w:ascii="Calibri" w:hAnsi="Calibri" w:cs="Calibri"/>
                <w:sz w:val="22"/>
                <w:szCs w:val="22"/>
              </w:rPr>
              <w:t xml:space="preserve"> </w:t>
            </w:r>
            <w:r w:rsidRPr="00303B11">
              <w:rPr>
                <w:rFonts w:ascii="Calibri" w:hAnsi="Calibri" w:cs="Calibri"/>
                <w:sz w:val="22"/>
                <w:szCs w:val="22"/>
              </w:rPr>
              <w:t>The economic benefits of improving port efficiency are considerable. According to the World Bank (2022), enhancing port and corridor efficiency could reduce trade costs in low-income countries by 10% and boost global trade volumes by 14.5%. With the AfCFTA projected to increase intra-African trade by 52.3% by 2030 (UNECA, 2020), there is a significant opportunity to capitalise on this growth.</w:t>
            </w:r>
          </w:p>
          <w:p w14:paraId="57B6C8C0" w14:textId="77777777" w:rsidR="0004009F" w:rsidRPr="00303B11" w:rsidRDefault="0004009F" w:rsidP="0004009F">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446ED69B" w14:textId="77777777" w:rsidR="002C36BF" w:rsidRPr="00303B11" w:rsidRDefault="002C36BF" w:rsidP="00432C8C">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KE"/>
              </w:rPr>
            </w:pPr>
            <w:r w:rsidRPr="00303B11">
              <w:rPr>
                <w:rFonts w:ascii="Calibri" w:hAnsi="Calibri" w:cs="Calibri"/>
                <w:sz w:val="22"/>
                <w:szCs w:val="22"/>
              </w:rPr>
              <w:t>To address these issues and seize future opportunities, the TMA trade facilitation component of the programme will be is needed to reduce the time and cost of goods movement. This will be achieved by digitising clearance processes, integrating border agency systems, and expanding cold-chain capacity. These measures will cut clearance times from days to hours, lower transaction costs, and establish the Dar and Central Corridors as competitive and resilient trade arteries within Africa.</w:t>
            </w:r>
          </w:p>
        </w:tc>
      </w:tr>
      <w:tr w:rsidR="002C36BF" w:rsidRPr="00303B11" w14:paraId="6ECA6644" w14:textId="77777777" w:rsidTr="00432C8C">
        <w:trPr>
          <w:trHeight w:val="994"/>
        </w:trPr>
        <w:tc>
          <w:tcPr>
            <w:cnfStyle w:val="001000000000" w:firstRow="0" w:lastRow="0" w:firstColumn="1" w:lastColumn="0" w:oddVBand="0" w:evenVBand="0" w:oddHBand="0" w:evenHBand="0" w:firstRowFirstColumn="0" w:firstRowLastColumn="0" w:lastRowFirstColumn="0" w:lastRowLastColumn="0"/>
            <w:tcW w:w="2410" w:type="dxa"/>
          </w:tcPr>
          <w:p w14:paraId="0D49150A" w14:textId="77777777" w:rsidR="002C36BF" w:rsidRPr="00303B11" w:rsidRDefault="002C36BF" w:rsidP="00432C8C">
            <w:pPr>
              <w:pStyle w:val="NoSpacing"/>
              <w:rPr>
                <w:rFonts w:ascii="Calibri" w:hAnsi="Calibri" w:cs="Calibri"/>
                <w:sz w:val="22"/>
                <w:szCs w:val="22"/>
              </w:rPr>
            </w:pPr>
            <w:r w:rsidRPr="00303B11">
              <w:rPr>
                <w:rFonts w:ascii="Calibri" w:hAnsi="Calibri" w:cs="Calibri"/>
                <w:sz w:val="22"/>
                <w:szCs w:val="22"/>
              </w:rPr>
              <w:t xml:space="preserve">Implementation Strategy </w:t>
            </w:r>
          </w:p>
        </w:tc>
        <w:tc>
          <w:tcPr>
            <w:tcW w:w="7516" w:type="dxa"/>
          </w:tcPr>
          <w:p w14:paraId="47B8C81F" w14:textId="77777777" w:rsidR="002C36BF" w:rsidRPr="00303B11" w:rsidRDefault="002C36BF" w:rsidP="00432C8C">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 xml:space="preserve">Under the trade facilitation pillar, TMA will lead the €4.2 million component focusing on: </w:t>
            </w:r>
          </w:p>
          <w:p w14:paraId="16E21C8A" w14:textId="77777777" w:rsidR="002C36BF" w:rsidRPr="00303B11" w:rsidRDefault="002C36BF" w:rsidP="00432C8C">
            <w:pPr>
              <w:pStyle w:val="NoSpacing"/>
              <w:numPr>
                <w:ilvl w:val="0"/>
                <w:numId w:val="1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 xml:space="preserve">Digitising customs and port clearance to streamline processes and cut clearance times. </w:t>
            </w:r>
          </w:p>
          <w:p w14:paraId="7B6D9459" w14:textId="77777777" w:rsidR="002C36BF" w:rsidRPr="00303B11" w:rsidRDefault="002C36BF" w:rsidP="00432C8C">
            <w:pPr>
              <w:pStyle w:val="NoSpacing"/>
              <w:numPr>
                <w:ilvl w:val="0"/>
                <w:numId w:val="1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 xml:space="preserve">Integrating electronic systems across border agencies to remove duplicative </w:t>
            </w:r>
            <w:proofErr w:type="gramStart"/>
            <w:r w:rsidRPr="00303B11">
              <w:rPr>
                <w:rFonts w:ascii="Calibri" w:hAnsi="Calibri" w:cs="Calibri"/>
                <w:sz w:val="22"/>
                <w:szCs w:val="22"/>
              </w:rPr>
              <w:t>checks;</w:t>
            </w:r>
            <w:proofErr w:type="gramEnd"/>
          </w:p>
          <w:p w14:paraId="35E11FB5" w14:textId="77777777" w:rsidR="002C36BF" w:rsidRPr="00303B11" w:rsidRDefault="002C36BF" w:rsidP="00432C8C">
            <w:pPr>
              <w:pStyle w:val="NoSpacing"/>
              <w:numPr>
                <w:ilvl w:val="0"/>
                <w:numId w:val="1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lastRenderedPageBreak/>
              <w:t xml:space="preserve">Expanding cold-chain infrastructure to safeguard perishable goods and reduce losses; and </w:t>
            </w:r>
          </w:p>
          <w:p w14:paraId="188A2285" w14:textId="77777777" w:rsidR="002C36BF" w:rsidRPr="00303B11" w:rsidRDefault="002C36BF" w:rsidP="00432C8C">
            <w:pPr>
              <w:pStyle w:val="NoSpacing"/>
              <w:numPr>
                <w:ilvl w:val="0"/>
                <w:numId w:val="1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 xml:space="preserve">Upgrading infrastructure to improve the handling of high-value and time-sensitive cargo. </w:t>
            </w:r>
          </w:p>
          <w:p w14:paraId="065B11E6" w14:textId="6E51C6AC" w:rsidR="002C36BF" w:rsidRPr="00303B11" w:rsidRDefault="002C36BF" w:rsidP="00432C8C">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TMA will work closely with TPA, government agencies, and private</w:t>
            </w:r>
            <w:r w:rsidR="00A1759B">
              <w:rPr>
                <w:rFonts w:ascii="Calibri" w:hAnsi="Calibri" w:cs="Calibri"/>
                <w:sz w:val="22"/>
                <w:szCs w:val="22"/>
              </w:rPr>
              <w:t>-</w:t>
            </w:r>
            <w:r w:rsidRPr="00303B11">
              <w:rPr>
                <w:rFonts w:ascii="Calibri" w:hAnsi="Calibri" w:cs="Calibri"/>
                <w:sz w:val="22"/>
                <w:szCs w:val="22"/>
              </w:rPr>
              <w:t>sector stakeholders to ensure the reforms deliver measurable reductions in time, cost, and risk along the Dar and Central Corridors.</w:t>
            </w:r>
          </w:p>
        </w:tc>
      </w:tr>
      <w:tr w:rsidR="002C36BF" w:rsidRPr="00303B11" w14:paraId="5AAD9E3E" w14:textId="77777777" w:rsidTr="00432C8C">
        <w:trPr>
          <w:cnfStyle w:val="000000100000" w:firstRow="0" w:lastRow="0" w:firstColumn="0" w:lastColumn="0" w:oddVBand="0" w:evenVBand="0" w:oddHBand="1"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2410" w:type="dxa"/>
          </w:tcPr>
          <w:p w14:paraId="65C22401" w14:textId="77777777" w:rsidR="002C36BF" w:rsidRPr="00303B11" w:rsidRDefault="002C36BF" w:rsidP="00432C8C">
            <w:pPr>
              <w:pStyle w:val="NoSpacing"/>
              <w:rPr>
                <w:rFonts w:ascii="Calibri" w:hAnsi="Calibri" w:cs="Calibri"/>
                <w:sz w:val="22"/>
                <w:szCs w:val="22"/>
              </w:rPr>
            </w:pPr>
            <w:r w:rsidRPr="00303B11">
              <w:rPr>
                <w:rFonts w:ascii="Calibri" w:hAnsi="Calibri" w:cs="Calibri"/>
                <w:sz w:val="22"/>
                <w:szCs w:val="22"/>
              </w:rPr>
              <w:lastRenderedPageBreak/>
              <w:t xml:space="preserve">Target Results </w:t>
            </w:r>
          </w:p>
        </w:tc>
        <w:tc>
          <w:tcPr>
            <w:tcW w:w="7516" w:type="dxa"/>
          </w:tcPr>
          <w:p w14:paraId="63EC2A61" w14:textId="77777777" w:rsidR="002C36BF" w:rsidRDefault="002C36BF" w:rsidP="00432C8C">
            <w:pPr>
              <w:pStyle w:val="NoSpacing"/>
              <w:numPr>
                <w:ilvl w:val="0"/>
                <w:numId w:val="17"/>
              </w:numPr>
              <w:ind w:left="333" w:hanging="33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Reduce average cargo dwell time from 9–12 days to under 4 days.</w:t>
            </w:r>
          </w:p>
          <w:p w14:paraId="7622BA47" w14:textId="77777777" w:rsidR="002C36BF" w:rsidRDefault="002C36BF" w:rsidP="00432C8C">
            <w:pPr>
              <w:pStyle w:val="NoSpacing"/>
              <w:numPr>
                <w:ilvl w:val="0"/>
                <w:numId w:val="17"/>
              </w:numPr>
              <w:ind w:left="333" w:hanging="33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 xml:space="preserve">Cut clearance times for priority goods from days to hours. </w:t>
            </w:r>
          </w:p>
          <w:p w14:paraId="2D513D57" w14:textId="77777777" w:rsidR="002C36BF" w:rsidRDefault="002C36BF" w:rsidP="00432C8C">
            <w:pPr>
              <w:pStyle w:val="NoSpacing"/>
              <w:numPr>
                <w:ilvl w:val="0"/>
                <w:numId w:val="17"/>
              </w:numPr>
              <w:ind w:left="333" w:hanging="33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 xml:space="preserve">Reduce trade costs along the Dar and Central Corridors by up to 10%. </w:t>
            </w:r>
          </w:p>
          <w:p w14:paraId="20AAFCB6" w14:textId="77777777" w:rsidR="002C36BF" w:rsidRPr="00303B11" w:rsidRDefault="002C36BF" w:rsidP="00432C8C">
            <w:pPr>
              <w:pStyle w:val="NoSpacing"/>
              <w:numPr>
                <w:ilvl w:val="0"/>
                <w:numId w:val="17"/>
              </w:numPr>
              <w:ind w:left="333" w:hanging="33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Expand cold-chain capacity to reduce perishable goods losses by 30–50%. Contribute to capturing a share of the projected 52.3% growth in intra-African trade by 2030.</w:t>
            </w:r>
          </w:p>
        </w:tc>
      </w:tr>
      <w:tr w:rsidR="002C36BF" w:rsidRPr="00303B11" w14:paraId="3AACC318" w14:textId="77777777" w:rsidTr="00432C8C">
        <w:trPr>
          <w:trHeight w:val="1211"/>
        </w:trPr>
        <w:tc>
          <w:tcPr>
            <w:cnfStyle w:val="001000000000" w:firstRow="0" w:lastRow="0" w:firstColumn="1" w:lastColumn="0" w:oddVBand="0" w:evenVBand="0" w:oddHBand="0" w:evenHBand="0" w:firstRowFirstColumn="0" w:firstRowLastColumn="0" w:lastRowFirstColumn="0" w:lastRowLastColumn="0"/>
            <w:tcW w:w="2410" w:type="dxa"/>
          </w:tcPr>
          <w:p w14:paraId="519C9F57" w14:textId="77777777" w:rsidR="002C36BF" w:rsidRPr="00303B11" w:rsidRDefault="002C36BF" w:rsidP="00432C8C">
            <w:pPr>
              <w:pStyle w:val="NoSpacing"/>
              <w:rPr>
                <w:rFonts w:ascii="Calibri" w:hAnsi="Calibri" w:cs="Calibri"/>
                <w:sz w:val="22"/>
                <w:szCs w:val="22"/>
              </w:rPr>
            </w:pPr>
            <w:r w:rsidRPr="00303B11">
              <w:rPr>
                <w:rFonts w:ascii="Calibri" w:hAnsi="Calibri" w:cs="Calibri"/>
                <w:sz w:val="22"/>
                <w:szCs w:val="22"/>
              </w:rPr>
              <w:t xml:space="preserve">Progress </w:t>
            </w:r>
          </w:p>
        </w:tc>
        <w:tc>
          <w:tcPr>
            <w:tcW w:w="7516" w:type="dxa"/>
          </w:tcPr>
          <w:p w14:paraId="0099BF40" w14:textId="14677529" w:rsidR="002C36BF" w:rsidRPr="00303B11" w:rsidRDefault="002C36BF" w:rsidP="00432C8C">
            <w:pPr>
              <w:pStyle w:val="NoSpacing"/>
              <w:numPr>
                <w:ilvl w:val="0"/>
                <w:numId w:val="18"/>
              </w:numPr>
              <w:ind w:left="333"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KE"/>
              </w:rPr>
            </w:pPr>
            <w:r w:rsidRPr="00303B11">
              <w:rPr>
                <w:rFonts w:ascii="Calibri" w:hAnsi="Calibri" w:cs="Calibri"/>
                <w:sz w:val="22"/>
                <w:szCs w:val="22"/>
                <w:lang w:val="en-KE"/>
              </w:rPr>
              <w:t>Funding agreement signed between the EU, TPA, and implementing partners (TMA, Port of Antwerp-Bruges International, UN-Habitat)</w:t>
            </w:r>
            <w:r w:rsidR="00A1759B">
              <w:rPr>
                <w:rFonts w:ascii="Calibri" w:hAnsi="Calibri" w:cs="Calibri"/>
                <w:sz w:val="22"/>
                <w:szCs w:val="22"/>
                <w:lang w:val="en-KE"/>
              </w:rPr>
              <w:t>,</w:t>
            </w:r>
            <w:r w:rsidRPr="00303B11">
              <w:rPr>
                <w:rFonts w:ascii="Calibri" w:hAnsi="Calibri" w:cs="Calibri"/>
                <w:sz w:val="22"/>
                <w:szCs w:val="22"/>
                <w:lang w:val="en-KE"/>
              </w:rPr>
              <w:t xml:space="preserve"> with Enabel managing.</w:t>
            </w:r>
          </w:p>
          <w:p w14:paraId="254AAA48" w14:textId="0346405D" w:rsidR="002C36BF" w:rsidRDefault="002C36BF" w:rsidP="00432C8C">
            <w:pPr>
              <w:pStyle w:val="NoSpacing"/>
              <w:numPr>
                <w:ilvl w:val="0"/>
                <w:numId w:val="18"/>
              </w:numPr>
              <w:ind w:left="333"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KE"/>
              </w:rPr>
            </w:pPr>
            <w:r w:rsidRPr="00303B11">
              <w:rPr>
                <w:rFonts w:ascii="Calibri" w:hAnsi="Calibri" w:cs="Calibri"/>
                <w:sz w:val="22"/>
                <w:szCs w:val="22"/>
                <w:lang w:val="en-KE"/>
              </w:rPr>
              <w:t xml:space="preserve">Programme </w:t>
            </w:r>
            <w:r w:rsidRPr="00303B11">
              <w:rPr>
                <w:rFonts w:ascii="Calibri" w:hAnsi="Calibri" w:cs="Calibri"/>
                <w:sz w:val="22"/>
                <w:szCs w:val="22"/>
              </w:rPr>
              <w:t xml:space="preserve">official </w:t>
            </w:r>
            <w:r w:rsidRPr="00303B11">
              <w:rPr>
                <w:rFonts w:ascii="Calibri" w:hAnsi="Calibri" w:cs="Calibri"/>
                <w:sz w:val="22"/>
                <w:szCs w:val="22"/>
                <w:lang w:val="en-KE"/>
              </w:rPr>
              <w:t xml:space="preserve">launch </w:t>
            </w:r>
            <w:r w:rsidRPr="00303B11">
              <w:rPr>
                <w:rFonts w:ascii="Calibri" w:hAnsi="Calibri" w:cs="Calibri"/>
                <w:sz w:val="22"/>
                <w:szCs w:val="22"/>
              </w:rPr>
              <w:t xml:space="preserve">planned for </w:t>
            </w:r>
            <w:r>
              <w:rPr>
                <w:rFonts w:ascii="Calibri" w:hAnsi="Calibri" w:cs="Calibri"/>
                <w:sz w:val="22"/>
                <w:szCs w:val="22"/>
              </w:rPr>
              <w:t xml:space="preserve">21 August 2025 </w:t>
            </w:r>
            <w:r w:rsidRPr="00303B11">
              <w:rPr>
                <w:rFonts w:ascii="Calibri" w:hAnsi="Calibri" w:cs="Calibri"/>
                <w:sz w:val="22"/>
                <w:szCs w:val="22"/>
                <w:lang w:val="en-KE"/>
              </w:rPr>
              <w:t xml:space="preserve">with representation from EU, </w:t>
            </w:r>
            <w:r w:rsidR="00A1759B">
              <w:rPr>
                <w:rFonts w:ascii="Calibri" w:hAnsi="Calibri" w:cs="Calibri"/>
                <w:sz w:val="22"/>
                <w:szCs w:val="22"/>
                <w:lang w:val="en-KE"/>
              </w:rPr>
              <w:t xml:space="preserve">the </w:t>
            </w:r>
            <w:r w:rsidRPr="00303B11">
              <w:rPr>
                <w:rFonts w:ascii="Calibri" w:hAnsi="Calibri" w:cs="Calibri"/>
                <w:sz w:val="22"/>
                <w:szCs w:val="22"/>
                <w:lang w:val="en-KE"/>
              </w:rPr>
              <w:t>Government of Tanzania, and implementing agencies.</w:t>
            </w:r>
            <w:r>
              <w:rPr>
                <w:rFonts w:ascii="Calibri" w:hAnsi="Calibri" w:cs="Calibri"/>
                <w:sz w:val="22"/>
                <w:szCs w:val="22"/>
                <w:lang w:val="en-KE"/>
              </w:rPr>
              <w:t xml:space="preserve"> </w:t>
            </w:r>
          </w:p>
          <w:p w14:paraId="3C735031" w14:textId="391FCF7B" w:rsidR="002C36BF" w:rsidRPr="00303B11" w:rsidRDefault="002C36BF" w:rsidP="00432C8C">
            <w:pPr>
              <w:pStyle w:val="NoSpacing"/>
              <w:numPr>
                <w:ilvl w:val="0"/>
                <w:numId w:val="18"/>
              </w:numPr>
              <w:ind w:left="333"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KE"/>
              </w:rPr>
            </w:pPr>
            <w:r w:rsidRPr="00303B11">
              <w:rPr>
                <w:rFonts w:ascii="Calibri" w:hAnsi="Calibri" w:cs="Calibri"/>
                <w:sz w:val="22"/>
                <w:szCs w:val="22"/>
                <w:lang w:val="en-KE"/>
              </w:rPr>
              <w:t xml:space="preserve">Initiation of baseline assessments and stakeholder mapping for customs digitisation, infrastructure upgrades, and cold-chain capacity planning (planned in </w:t>
            </w:r>
            <w:r w:rsidR="00A1759B">
              <w:rPr>
                <w:rFonts w:ascii="Calibri" w:hAnsi="Calibri" w:cs="Calibri"/>
                <w:sz w:val="22"/>
                <w:szCs w:val="22"/>
                <w:lang w:val="en-KE"/>
              </w:rPr>
              <w:t xml:space="preserve">the </w:t>
            </w:r>
            <w:r w:rsidRPr="00303B11">
              <w:rPr>
                <w:rFonts w:ascii="Calibri" w:hAnsi="Calibri" w:cs="Calibri"/>
                <w:sz w:val="22"/>
                <w:szCs w:val="22"/>
                <w:lang w:val="en-KE"/>
              </w:rPr>
              <w:t>inception phase).</w:t>
            </w:r>
          </w:p>
          <w:p w14:paraId="2ED84A72" w14:textId="77777777" w:rsidR="002C36BF" w:rsidRPr="00303B11" w:rsidRDefault="002C36BF" w:rsidP="00432C8C">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 xml:space="preserve"> </w:t>
            </w:r>
          </w:p>
        </w:tc>
      </w:tr>
      <w:tr w:rsidR="002C36BF" w:rsidRPr="00303B11" w14:paraId="0B7D4B1A" w14:textId="77777777" w:rsidTr="00432C8C">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410" w:type="dxa"/>
          </w:tcPr>
          <w:p w14:paraId="10C534BB" w14:textId="77777777" w:rsidR="002C36BF" w:rsidRPr="00303B11" w:rsidRDefault="002C36BF" w:rsidP="00432C8C">
            <w:pPr>
              <w:pStyle w:val="NoSpacing"/>
              <w:rPr>
                <w:rFonts w:ascii="Calibri" w:hAnsi="Calibri" w:cs="Calibri"/>
                <w:sz w:val="22"/>
                <w:szCs w:val="22"/>
              </w:rPr>
            </w:pPr>
            <w:r w:rsidRPr="00303B11">
              <w:rPr>
                <w:rFonts w:ascii="Calibri" w:hAnsi="Calibri" w:cs="Calibri"/>
                <w:sz w:val="22"/>
                <w:szCs w:val="22"/>
              </w:rPr>
              <w:t>Contact</w:t>
            </w:r>
          </w:p>
        </w:tc>
        <w:tc>
          <w:tcPr>
            <w:tcW w:w="7516" w:type="dxa"/>
          </w:tcPr>
          <w:p w14:paraId="7884A892" w14:textId="77777777" w:rsidR="002C36BF" w:rsidRPr="00303B11" w:rsidRDefault="002C36BF"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 xml:space="preserve">Elibariki Shammy – Country Director, Tanzania </w:t>
            </w:r>
          </w:p>
          <w:p w14:paraId="1443E38D" w14:textId="77777777" w:rsidR="002C36BF" w:rsidRPr="002C36BF" w:rsidRDefault="002C36BF"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03B11">
              <w:rPr>
                <w:rFonts w:ascii="Calibri" w:hAnsi="Calibri" w:cs="Calibri"/>
                <w:sz w:val="22"/>
                <w:szCs w:val="22"/>
              </w:rPr>
              <w:t xml:space="preserve">Email: </w:t>
            </w:r>
            <w:hyperlink r:id="rId7" w:history="1">
              <w:r w:rsidRPr="00303B11">
                <w:rPr>
                  <w:rStyle w:val="Hyperlink"/>
                  <w:rFonts w:ascii="Calibri" w:hAnsi="Calibri" w:cs="Calibri"/>
                  <w:sz w:val="22"/>
                  <w:szCs w:val="22"/>
                </w:rPr>
                <w:t>elibariki.shammy@trademarkafrica.com</w:t>
              </w:r>
            </w:hyperlink>
          </w:p>
        </w:tc>
      </w:tr>
    </w:tbl>
    <w:p w14:paraId="1CA708FE" w14:textId="77777777" w:rsidR="002C36BF" w:rsidRPr="002C36BF" w:rsidRDefault="002C36BF" w:rsidP="00AF3F70"/>
    <w:sectPr w:rsidR="002C36BF" w:rsidRPr="002C36BF" w:rsidSect="00F238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B056" w14:textId="77777777" w:rsidR="009A1203" w:rsidRPr="00674543" w:rsidRDefault="009A1203">
      <w:pPr>
        <w:spacing w:after="0" w:line="240" w:lineRule="auto"/>
      </w:pPr>
      <w:r w:rsidRPr="00674543">
        <w:separator/>
      </w:r>
    </w:p>
  </w:endnote>
  <w:endnote w:type="continuationSeparator" w:id="0">
    <w:p w14:paraId="3FD11EEE" w14:textId="77777777" w:rsidR="009A1203" w:rsidRPr="00674543" w:rsidRDefault="009A1203">
      <w:pPr>
        <w:spacing w:after="0" w:line="240" w:lineRule="auto"/>
      </w:pPr>
      <w:r w:rsidRPr="00674543">
        <w:continuationSeparator/>
      </w:r>
    </w:p>
  </w:endnote>
  <w:endnote w:type="continuationNotice" w:id="1">
    <w:p w14:paraId="11674979" w14:textId="77777777" w:rsidR="009A1203" w:rsidRPr="00674543" w:rsidRDefault="009A1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44A7" w14:textId="58676E1F" w:rsidR="00363729" w:rsidRPr="00674543" w:rsidRDefault="00462D67" w:rsidP="00462D67">
    <w:pPr>
      <w:pStyle w:val="Footer"/>
      <w:jc w:val="center"/>
    </w:pPr>
    <w:r w:rsidRPr="00674543">
      <w:fldChar w:fldCharType="begin"/>
    </w:r>
    <w:r w:rsidRPr="00674543">
      <w:instrText>PAGE   \* MERGEFORMAT</w:instrText>
    </w:r>
    <w:r w:rsidRPr="00674543">
      <w:fldChar w:fldCharType="separate"/>
    </w:r>
    <w:r w:rsidRPr="00674543">
      <w:t>1</w:t>
    </w:r>
    <w:r w:rsidRPr="006745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98AC" w14:textId="77777777" w:rsidR="009A1203" w:rsidRPr="00674543" w:rsidRDefault="009A1203">
      <w:pPr>
        <w:spacing w:after="0" w:line="240" w:lineRule="auto"/>
      </w:pPr>
      <w:r w:rsidRPr="00674543">
        <w:separator/>
      </w:r>
    </w:p>
  </w:footnote>
  <w:footnote w:type="continuationSeparator" w:id="0">
    <w:p w14:paraId="6020024D" w14:textId="77777777" w:rsidR="009A1203" w:rsidRPr="00674543" w:rsidRDefault="009A1203">
      <w:pPr>
        <w:spacing w:after="0" w:line="240" w:lineRule="auto"/>
      </w:pPr>
      <w:r w:rsidRPr="00674543">
        <w:continuationSeparator/>
      </w:r>
    </w:p>
  </w:footnote>
  <w:footnote w:type="continuationNotice" w:id="1">
    <w:p w14:paraId="2DDC1DA1" w14:textId="77777777" w:rsidR="009A1203" w:rsidRPr="00674543" w:rsidRDefault="009A12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B31C" w14:textId="60B50C8E" w:rsidR="00363729" w:rsidRPr="00674543" w:rsidRDefault="007118A9">
    <w:pPr>
      <w:pStyle w:val="Header"/>
      <w:jc w:val="right"/>
    </w:pPr>
    <w:r w:rsidRPr="00674543">
      <w:rPr>
        <w:noProof/>
      </w:rPr>
      <w:drawing>
        <wp:inline distT="0" distB="0" distL="0" distR="0" wp14:anchorId="1CAF9BB3" wp14:editId="28D5BF60">
          <wp:extent cx="844506" cy="720356"/>
          <wp:effectExtent l="0" t="0" r="0" b="3810"/>
          <wp:docPr id="189765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56280" name="Picture 1897656280"/>
                  <pic:cNvPicPr/>
                </pic:nvPicPr>
                <pic:blipFill>
                  <a:blip r:embed="rId1">
                    <a:extLst>
                      <a:ext uri="{28A0092B-C50C-407E-A947-70E740481C1C}">
                        <a14:useLocalDpi xmlns:a14="http://schemas.microsoft.com/office/drawing/2010/main" val="0"/>
                      </a:ext>
                    </a:extLst>
                  </a:blip>
                  <a:stretch>
                    <a:fillRect/>
                  </a:stretch>
                </pic:blipFill>
                <pic:spPr>
                  <a:xfrm>
                    <a:off x="0" y="0"/>
                    <a:ext cx="867160" cy="739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206"/>
    <w:multiLevelType w:val="hybridMultilevel"/>
    <w:tmpl w:val="3C526B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123F26CD"/>
    <w:multiLevelType w:val="hybridMultilevel"/>
    <w:tmpl w:val="A0149A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A1A46"/>
    <w:multiLevelType w:val="hybridMultilevel"/>
    <w:tmpl w:val="6400E2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0D808A9"/>
    <w:multiLevelType w:val="multilevel"/>
    <w:tmpl w:val="C440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73434D"/>
    <w:multiLevelType w:val="hybridMultilevel"/>
    <w:tmpl w:val="45B0F5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3185735B"/>
    <w:multiLevelType w:val="hybridMultilevel"/>
    <w:tmpl w:val="7C6A7F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5803D35"/>
    <w:multiLevelType w:val="multilevel"/>
    <w:tmpl w:val="90A6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C2F211B"/>
    <w:multiLevelType w:val="multilevel"/>
    <w:tmpl w:val="9A10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245672"/>
    <w:multiLevelType w:val="hybridMultilevel"/>
    <w:tmpl w:val="3E6AB3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401B0FD0"/>
    <w:multiLevelType w:val="hybridMultilevel"/>
    <w:tmpl w:val="AE6E3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D26CF7"/>
    <w:multiLevelType w:val="hybridMultilevel"/>
    <w:tmpl w:val="092C187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492F64A1"/>
    <w:multiLevelType w:val="hybridMultilevel"/>
    <w:tmpl w:val="76A282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97376F4"/>
    <w:multiLevelType w:val="multilevel"/>
    <w:tmpl w:val="5FFA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5A43F6"/>
    <w:multiLevelType w:val="hybridMultilevel"/>
    <w:tmpl w:val="113209C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60C07FD0"/>
    <w:multiLevelType w:val="hybridMultilevel"/>
    <w:tmpl w:val="2566453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624B27F9"/>
    <w:multiLevelType w:val="hybridMultilevel"/>
    <w:tmpl w:val="50ECFC50"/>
    <w:lvl w:ilvl="0" w:tplc="4B043A44">
      <w:start w:val="1"/>
      <w:numFmt w:val="bullet"/>
      <w:lvlText w:val="•"/>
      <w:lvlJc w:val="left"/>
      <w:pPr>
        <w:tabs>
          <w:tab w:val="num" w:pos="720"/>
        </w:tabs>
        <w:ind w:left="720" w:hanging="360"/>
      </w:pPr>
      <w:rPr>
        <w:rFonts w:ascii="Arial" w:hAnsi="Arial" w:hint="default"/>
      </w:rPr>
    </w:lvl>
    <w:lvl w:ilvl="1" w:tplc="D5DA94D4" w:tentative="1">
      <w:start w:val="1"/>
      <w:numFmt w:val="bullet"/>
      <w:lvlText w:val="•"/>
      <w:lvlJc w:val="left"/>
      <w:pPr>
        <w:tabs>
          <w:tab w:val="num" w:pos="1440"/>
        </w:tabs>
        <w:ind w:left="1440" w:hanging="360"/>
      </w:pPr>
      <w:rPr>
        <w:rFonts w:ascii="Arial" w:hAnsi="Arial" w:hint="default"/>
      </w:rPr>
    </w:lvl>
    <w:lvl w:ilvl="2" w:tplc="211691DE" w:tentative="1">
      <w:start w:val="1"/>
      <w:numFmt w:val="bullet"/>
      <w:lvlText w:val="•"/>
      <w:lvlJc w:val="left"/>
      <w:pPr>
        <w:tabs>
          <w:tab w:val="num" w:pos="2160"/>
        </w:tabs>
        <w:ind w:left="2160" w:hanging="360"/>
      </w:pPr>
      <w:rPr>
        <w:rFonts w:ascii="Arial" w:hAnsi="Arial" w:hint="default"/>
      </w:rPr>
    </w:lvl>
    <w:lvl w:ilvl="3" w:tplc="71566116" w:tentative="1">
      <w:start w:val="1"/>
      <w:numFmt w:val="bullet"/>
      <w:lvlText w:val="•"/>
      <w:lvlJc w:val="left"/>
      <w:pPr>
        <w:tabs>
          <w:tab w:val="num" w:pos="2880"/>
        </w:tabs>
        <w:ind w:left="2880" w:hanging="360"/>
      </w:pPr>
      <w:rPr>
        <w:rFonts w:ascii="Arial" w:hAnsi="Arial" w:hint="default"/>
      </w:rPr>
    </w:lvl>
    <w:lvl w:ilvl="4" w:tplc="F04C5954" w:tentative="1">
      <w:start w:val="1"/>
      <w:numFmt w:val="bullet"/>
      <w:lvlText w:val="•"/>
      <w:lvlJc w:val="left"/>
      <w:pPr>
        <w:tabs>
          <w:tab w:val="num" w:pos="3600"/>
        </w:tabs>
        <w:ind w:left="3600" w:hanging="360"/>
      </w:pPr>
      <w:rPr>
        <w:rFonts w:ascii="Arial" w:hAnsi="Arial" w:hint="default"/>
      </w:rPr>
    </w:lvl>
    <w:lvl w:ilvl="5" w:tplc="8662F386" w:tentative="1">
      <w:start w:val="1"/>
      <w:numFmt w:val="bullet"/>
      <w:lvlText w:val="•"/>
      <w:lvlJc w:val="left"/>
      <w:pPr>
        <w:tabs>
          <w:tab w:val="num" w:pos="4320"/>
        </w:tabs>
        <w:ind w:left="4320" w:hanging="360"/>
      </w:pPr>
      <w:rPr>
        <w:rFonts w:ascii="Arial" w:hAnsi="Arial" w:hint="default"/>
      </w:rPr>
    </w:lvl>
    <w:lvl w:ilvl="6" w:tplc="0A34B20C" w:tentative="1">
      <w:start w:val="1"/>
      <w:numFmt w:val="bullet"/>
      <w:lvlText w:val="•"/>
      <w:lvlJc w:val="left"/>
      <w:pPr>
        <w:tabs>
          <w:tab w:val="num" w:pos="5040"/>
        </w:tabs>
        <w:ind w:left="5040" w:hanging="360"/>
      </w:pPr>
      <w:rPr>
        <w:rFonts w:ascii="Arial" w:hAnsi="Arial" w:hint="default"/>
      </w:rPr>
    </w:lvl>
    <w:lvl w:ilvl="7" w:tplc="220A20FC" w:tentative="1">
      <w:start w:val="1"/>
      <w:numFmt w:val="bullet"/>
      <w:lvlText w:val="•"/>
      <w:lvlJc w:val="left"/>
      <w:pPr>
        <w:tabs>
          <w:tab w:val="num" w:pos="5760"/>
        </w:tabs>
        <w:ind w:left="5760" w:hanging="360"/>
      </w:pPr>
      <w:rPr>
        <w:rFonts w:ascii="Arial" w:hAnsi="Arial" w:hint="default"/>
      </w:rPr>
    </w:lvl>
    <w:lvl w:ilvl="8" w:tplc="DC680D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0C5157B"/>
    <w:multiLevelType w:val="multilevel"/>
    <w:tmpl w:val="9246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8547D2"/>
    <w:multiLevelType w:val="hybridMultilevel"/>
    <w:tmpl w:val="1BF007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5414144">
    <w:abstractNumId w:val="9"/>
  </w:num>
  <w:num w:numId="2" w16cid:durableId="390152176">
    <w:abstractNumId w:val="1"/>
  </w:num>
  <w:num w:numId="3" w16cid:durableId="1648590634">
    <w:abstractNumId w:val="11"/>
  </w:num>
  <w:num w:numId="4" w16cid:durableId="1815482256">
    <w:abstractNumId w:val="16"/>
  </w:num>
  <w:num w:numId="5" w16cid:durableId="799152830">
    <w:abstractNumId w:val="6"/>
  </w:num>
  <w:num w:numId="6" w16cid:durableId="1740516456">
    <w:abstractNumId w:val="13"/>
  </w:num>
  <w:num w:numId="7" w16cid:durableId="935552207">
    <w:abstractNumId w:val="7"/>
  </w:num>
  <w:num w:numId="8" w16cid:durableId="56517229">
    <w:abstractNumId w:val="12"/>
  </w:num>
  <w:num w:numId="9" w16cid:durableId="1011492222">
    <w:abstractNumId w:val="3"/>
  </w:num>
  <w:num w:numId="10" w16cid:durableId="260920905">
    <w:abstractNumId w:val="0"/>
  </w:num>
  <w:num w:numId="11" w16cid:durableId="1828201377">
    <w:abstractNumId w:val="2"/>
  </w:num>
  <w:num w:numId="12" w16cid:durableId="1261570313">
    <w:abstractNumId w:val="10"/>
  </w:num>
  <w:num w:numId="13" w16cid:durableId="1135562000">
    <w:abstractNumId w:val="15"/>
  </w:num>
  <w:num w:numId="14" w16cid:durableId="2129083411">
    <w:abstractNumId w:val="14"/>
  </w:num>
  <w:num w:numId="15" w16cid:durableId="1607883888">
    <w:abstractNumId w:val="17"/>
  </w:num>
  <w:num w:numId="16" w16cid:durableId="5792789">
    <w:abstractNumId w:val="8"/>
  </w:num>
  <w:num w:numId="17" w16cid:durableId="583614602">
    <w:abstractNumId w:val="4"/>
  </w:num>
  <w:num w:numId="18" w16cid:durableId="912277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96"/>
    <w:rsid w:val="000163E1"/>
    <w:rsid w:val="00021A51"/>
    <w:rsid w:val="00035F2E"/>
    <w:rsid w:val="0004009F"/>
    <w:rsid w:val="00040254"/>
    <w:rsid w:val="000420E1"/>
    <w:rsid w:val="0007530C"/>
    <w:rsid w:val="000850D8"/>
    <w:rsid w:val="00085442"/>
    <w:rsid w:val="000A3A85"/>
    <w:rsid w:val="000D73B5"/>
    <w:rsid w:val="000F3DDD"/>
    <w:rsid w:val="00112003"/>
    <w:rsid w:val="00124453"/>
    <w:rsid w:val="00144848"/>
    <w:rsid w:val="00170EE6"/>
    <w:rsid w:val="001959DF"/>
    <w:rsid w:val="001A0AD7"/>
    <w:rsid w:val="001F422F"/>
    <w:rsid w:val="00227356"/>
    <w:rsid w:val="00232849"/>
    <w:rsid w:val="002578FD"/>
    <w:rsid w:val="00262271"/>
    <w:rsid w:val="00267E51"/>
    <w:rsid w:val="002A0F77"/>
    <w:rsid w:val="002A48F0"/>
    <w:rsid w:val="002C36BF"/>
    <w:rsid w:val="002C48B4"/>
    <w:rsid w:val="002E7DA4"/>
    <w:rsid w:val="00303B11"/>
    <w:rsid w:val="00305632"/>
    <w:rsid w:val="00305EA8"/>
    <w:rsid w:val="00305F0A"/>
    <w:rsid w:val="00314E92"/>
    <w:rsid w:val="00324D6C"/>
    <w:rsid w:val="0032722A"/>
    <w:rsid w:val="00340D75"/>
    <w:rsid w:val="00343986"/>
    <w:rsid w:val="00363729"/>
    <w:rsid w:val="00365060"/>
    <w:rsid w:val="0038074A"/>
    <w:rsid w:val="003A126B"/>
    <w:rsid w:val="003A3A82"/>
    <w:rsid w:val="003B4907"/>
    <w:rsid w:val="003C6713"/>
    <w:rsid w:val="003F74B9"/>
    <w:rsid w:val="00412D52"/>
    <w:rsid w:val="004145B9"/>
    <w:rsid w:val="00423E2D"/>
    <w:rsid w:val="00462D67"/>
    <w:rsid w:val="00470C37"/>
    <w:rsid w:val="00493DB9"/>
    <w:rsid w:val="004A3EB4"/>
    <w:rsid w:val="004A59D9"/>
    <w:rsid w:val="004E55DF"/>
    <w:rsid w:val="00526746"/>
    <w:rsid w:val="00591A27"/>
    <w:rsid w:val="00597E59"/>
    <w:rsid w:val="005A6DBC"/>
    <w:rsid w:val="005B534B"/>
    <w:rsid w:val="005B7F72"/>
    <w:rsid w:val="005F0278"/>
    <w:rsid w:val="005F124B"/>
    <w:rsid w:val="00601554"/>
    <w:rsid w:val="006120D0"/>
    <w:rsid w:val="00632588"/>
    <w:rsid w:val="0064660C"/>
    <w:rsid w:val="006529A5"/>
    <w:rsid w:val="00655282"/>
    <w:rsid w:val="00666E59"/>
    <w:rsid w:val="00674543"/>
    <w:rsid w:val="00676BCD"/>
    <w:rsid w:val="006841C8"/>
    <w:rsid w:val="006D0316"/>
    <w:rsid w:val="006E2733"/>
    <w:rsid w:val="006F1C40"/>
    <w:rsid w:val="00704856"/>
    <w:rsid w:val="007118A9"/>
    <w:rsid w:val="00716AF9"/>
    <w:rsid w:val="0074033C"/>
    <w:rsid w:val="00740458"/>
    <w:rsid w:val="00767714"/>
    <w:rsid w:val="00787AD6"/>
    <w:rsid w:val="007945E0"/>
    <w:rsid w:val="007B20AC"/>
    <w:rsid w:val="007D1D9D"/>
    <w:rsid w:val="007D6A39"/>
    <w:rsid w:val="00801F71"/>
    <w:rsid w:val="00810823"/>
    <w:rsid w:val="008810ED"/>
    <w:rsid w:val="00896702"/>
    <w:rsid w:val="008B22A2"/>
    <w:rsid w:val="008D3BA7"/>
    <w:rsid w:val="008D3BE8"/>
    <w:rsid w:val="008E3FC9"/>
    <w:rsid w:val="008E6B07"/>
    <w:rsid w:val="008E6F38"/>
    <w:rsid w:val="0090222B"/>
    <w:rsid w:val="009217E2"/>
    <w:rsid w:val="0093051B"/>
    <w:rsid w:val="009563E2"/>
    <w:rsid w:val="0096050A"/>
    <w:rsid w:val="00964B46"/>
    <w:rsid w:val="009970CB"/>
    <w:rsid w:val="009A1203"/>
    <w:rsid w:val="00A1759B"/>
    <w:rsid w:val="00A31066"/>
    <w:rsid w:val="00A32413"/>
    <w:rsid w:val="00A42E4A"/>
    <w:rsid w:val="00A52281"/>
    <w:rsid w:val="00A67C5F"/>
    <w:rsid w:val="00A749ED"/>
    <w:rsid w:val="00A755EE"/>
    <w:rsid w:val="00AB1BC7"/>
    <w:rsid w:val="00AC6AF1"/>
    <w:rsid w:val="00AF3F70"/>
    <w:rsid w:val="00B20154"/>
    <w:rsid w:val="00B367B6"/>
    <w:rsid w:val="00B46920"/>
    <w:rsid w:val="00B61311"/>
    <w:rsid w:val="00B810D4"/>
    <w:rsid w:val="00BA00EA"/>
    <w:rsid w:val="00BD500A"/>
    <w:rsid w:val="00BD5336"/>
    <w:rsid w:val="00C143E7"/>
    <w:rsid w:val="00C70588"/>
    <w:rsid w:val="00C72211"/>
    <w:rsid w:val="00C87D99"/>
    <w:rsid w:val="00C93989"/>
    <w:rsid w:val="00CB2071"/>
    <w:rsid w:val="00CB3EAF"/>
    <w:rsid w:val="00CB74E1"/>
    <w:rsid w:val="00CD52C8"/>
    <w:rsid w:val="00CE10CA"/>
    <w:rsid w:val="00D20153"/>
    <w:rsid w:val="00D235B9"/>
    <w:rsid w:val="00D31AA0"/>
    <w:rsid w:val="00D4604C"/>
    <w:rsid w:val="00D52DC8"/>
    <w:rsid w:val="00D57CC2"/>
    <w:rsid w:val="00D743F6"/>
    <w:rsid w:val="00D76E9A"/>
    <w:rsid w:val="00DE4FE8"/>
    <w:rsid w:val="00E055B4"/>
    <w:rsid w:val="00E20185"/>
    <w:rsid w:val="00E32CB1"/>
    <w:rsid w:val="00E40441"/>
    <w:rsid w:val="00E741F3"/>
    <w:rsid w:val="00EA49F6"/>
    <w:rsid w:val="00EE2254"/>
    <w:rsid w:val="00F238C9"/>
    <w:rsid w:val="00F3444D"/>
    <w:rsid w:val="00F40A8C"/>
    <w:rsid w:val="00F511DC"/>
    <w:rsid w:val="00F81BFB"/>
    <w:rsid w:val="00F95745"/>
    <w:rsid w:val="00FC0C96"/>
    <w:rsid w:val="00FD1665"/>
    <w:rsid w:val="00FE577E"/>
    <w:rsid w:val="00FE77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5349"/>
  <w15:chartTrackingRefBased/>
  <w15:docId w15:val="{27E70085-FB79-4FFF-B60D-6F0F3667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FE8"/>
  </w:style>
  <w:style w:type="paragraph" w:styleId="Footer">
    <w:name w:val="footer"/>
    <w:basedOn w:val="Normal"/>
    <w:link w:val="FooterChar"/>
    <w:uiPriority w:val="99"/>
    <w:unhideWhenUsed/>
    <w:rsid w:val="00D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FE8"/>
  </w:style>
  <w:style w:type="table" w:styleId="TableGrid">
    <w:name w:val="Table Grid"/>
    <w:basedOn w:val="TableNormal"/>
    <w:uiPriority w:val="39"/>
    <w:rsid w:val="000D7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0D4"/>
    <w:rPr>
      <w:color w:val="0563C1" w:themeColor="hyperlink"/>
      <w:u w:val="single"/>
    </w:rPr>
  </w:style>
  <w:style w:type="table" w:styleId="PlainTable4">
    <w:name w:val="Plain Table 4"/>
    <w:basedOn w:val="TableNormal"/>
    <w:uiPriority w:val="44"/>
    <w:rsid w:val="00C143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E404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E20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185"/>
    <w:rPr>
      <w:rFonts w:ascii="Segoe UI" w:hAnsi="Segoe UI" w:cs="Segoe UI"/>
      <w:sz w:val="18"/>
      <w:szCs w:val="18"/>
    </w:rPr>
  </w:style>
  <w:style w:type="character" w:styleId="UnresolvedMention">
    <w:name w:val="Unresolved Mention"/>
    <w:basedOn w:val="DefaultParagraphFont"/>
    <w:uiPriority w:val="99"/>
    <w:semiHidden/>
    <w:unhideWhenUsed/>
    <w:rsid w:val="00CB2071"/>
    <w:rPr>
      <w:color w:val="605E5C"/>
      <w:shd w:val="clear" w:color="auto" w:fill="E1DFDD"/>
    </w:rPr>
  </w:style>
  <w:style w:type="paragraph" w:styleId="ListParagraph">
    <w:name w:val="List Paragraph"/>
    <w:basedOn w:val="Normal"/>
    <w:uiPriority w:val="34"/>
    <w:qFormat/>
    <w:rsid w:val="001959DF"/>
    <w:pPr>
      <w:ind w:left="720"/>
      <w:contextualSpacing/>
    </w:pPr>
  </w:style>
  <w:style w:type="character" w:styleId="CommentReference">
    <w:name w:val="annotation reference"/>
    <w:basedOn w:val="DefaultParagraphFont"/>
    <w:uiPriority w:val="99"/>
    <w:semiHidden/>
    <w:unhideWhenUsed/>
    <w:rsid w:val="005B7F72"/>
    <w:rPr>
      <w:sz w:val="16"/>
      <w:szCs w:val="16"/>
    </w:rPr>
  </w:style>
  <w:style w:type="paragraph" w:styleId="CommentText">
    <w:name w:val="annotation text"/>
    <w:basedOn w:val="Normal"/>
    <w:link w:val="CommentTextChar"/>
    <w:uiPriority w:val="99"/>
    <w:unhideWhenUsed/>
    <w:rsid w:val="005B7F72"/>
    <w:pPr>
      <w:spacing w:line="240" w:lineRule="auto"/>
    </w:pPr>
    <w:rPr>
      <w:sz w:val="20"/>
      <w:szCs w:val="20"/>
    </w:rPr>
  </w:style>
  <w:style w:type="character" w:customStyle="1" w:styleId="CommentTextChar">
    <w:name w:val="Comment Text Char"/>
    <w:basedOn w:val="DefaultParagraphFont"/>
    <w:link w:val="CommentText"/>
    <w:uiPriority w:val="99"/>
    <w:rsid w:val="005B7F72"/>
    <w:rPr>
      <w:sz w:val="20"/>
      <w:szCs w:val="20"/>
    </w:rPr>
  </w:style>
  <w:style w:type="paragraph" w:styleId="CommentSubject">
    <w:name w:val="annotation subject"/>
    <w:basedOn w:val="CommentText"/>
    <w:next w:val="CommentText"/>
    <w:link w:val="CommentSubjectChar"/>
    <w:uiPriority w:val="99"/>
    <w:semiHidden/>
    <w:unhideWhenUsed/>
    <w:rsid w:val="005B7F72"/>
    <w:rPr>
      <w:b/>
      <w:bCs/>
    </w:rPr>
  </w:style>
  <w:style w:type="character" w:customStyle="1" w:styleId="CommentSubjectChar">
    <w:name w:val="Comment Subject Char"/>
    <w:basedOn w:val="CommentTextChar"/>
    <w:link w:val="CommentSubject"/>
    <w:uiPriority w:val="99"/>
    <w:semiHidden/>
    <w:rsid w:val="005B7F72"/>
    <w:rPr>
      <w:b/>
      <w:bCs/>
      <w:sz w:val="20"/>
      <w:szCs w:val="20"/>
    </w:rPr>
  </w:style>
  <w:style w:type="character" w:styleId="FootnoteReference">
    <w:name w:val="footnote reference"/>
    <w:basedOn w:val="DefaultParagraphFont"/>
    <w:uiPriority w:val="99"/>
    <w:semiHidden/>
    <w:unhideWhenUsed/>
    <w:rsid w:val="005B7F72"/>
    <w:rPr>
      <w:vertAlign w:val="superscript"/>
    </w:rPr>
  </w:style>
  <w:style w:type="character" w:styleId="Strong">
    <w:name w:val="Strong"/>
    <w:basedOn w:val="DefaultParagraphFont"/>
    <w:uiPriority w:val="22"/>
    <w:qFormat/>
    <w:rsid w:val="00232849"/>
    <w:rPr>
      <w:b/>
      <w:bCs/>
    </w:rPr>
  </w:style>
  <w:style w:type="paragraph" w:styleId="Revision">
    <w:name w:val="Revision"/>
    <w:hidden/>
    <w:uiPriority w:val="99"/>
    <w:semiHidden/>
    <w:rsid w:val="001A0AD7"/>
    <w:pPr>
      <w:spacing w:after="0" w:line="240" w:lineRule="auto"/>
    </w:pPr>
  </w:style>
  <w:style w:type="paragraph" w:styleId="Subtitle">
    <w:name w:val="Subtitle"/>
    <w:basedOn w:val="Normal"/>
    <w:next w:val="Normal"/>
    <w:link w:val="SubtitleChar"/>
    <w:uiPriority w:val="11"/>
    <w:qFormat/>
    <w:rsid w:val="00170EE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0EE6"/>
    <w:rPr>
      <w:rFonts w:eastAsiaTheme="majorEastAsia" w:cstheme="majorBidi"/>
      <w:color w:val="595959" w:themeColor="text1" w:themeTint="A6"/>
      <w:spacing w:val="15"/>
      <w:kern w:val="2"/>
      <w:sz w:val="28"/>
      <w:szCs w:val="28"/>
      <w14:ligatures w14:val="standardContextual"/>
    </w:rPr>
  </w:style>
  <w:style w:type="paragraph" w:styleId="NoSpacing">
    <w:name w:val="No Spacing"/>
    <w:uiPriority w:val="1"/>
    <w:qFormat/>
    <w:rsid w:val="00170EE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91272">
      <w:bodyDiv w:val="1"/>
      <w:marLeft w:val="0"/>
      <w:marRight w:val="0"/>
      <w:marTop w:val="0"/>
      <w:marBottom w:val="0"/>
      <w:divBdr>
        <w:top w:val="none" w:sz="0" w:space="0" w:color="auto"/>
        <w:left w:val="none" w:sz="0" w:space="0" w:color="auto"/>
        <w:bottom w:val="none" w:sz="0" w:space="0" w:color="auto"/>
        <w:right w:val="none" w:sz="0" w:space="0" w:color="auto"/>
      </w:divBdr>
    </w:div>
    <w:div w:id="848639659">
      <w:bodyDiv w:val="1"/>
      <w:marLeft w:val="0"/>
      <w:marRight w:val="0"/>
      <w:marTop w:val="0"/>
      <w:marBottom w:val="0"/>
      <w:divBdr>
        <w:top w:val="none" w:sz="0" w:space="0" w:color="auto"/>
        <w:left w:val="none" w:sz="0" w:space="0" w:color="auto"/>
        <w:bottom w:val="none" w:sz="0" w:space="0" w:color="auto"/>
        <w:right w:val="none" w:sz="0" w:space="0" w:color="auto"/>
      </w:divBdr>
    </w:div>
    <w:div w:id="849298394">
      <w:bodyDiv w:val="1"/>
      <w:marLeft w:val="0"/>
      <w:marRight w:val="0"/>
      <w:marTop w:val="0"/>
      <w:marBottom w:val="0"/>
      <w:divBdr>
        <w:top w:val="none" w:sz="0" w:space="0" w:color="auto"/>
        <w:left w:val="none" w:sz="0" w:space="0" w:color="auto"/>
        <w:bottom w:val="none" w:sz="0" w:space="0" w:color="auto"/>
        <w:right w:val="none" w:sz="0" w:space="0" w:color="auto"/>
      </w:divBdr>
    </w:div>
    <w:div w:id="859127974">
      <w:bodyDiv w:val="1"/>
      <w:marLeft w:val="0"/>
      <w:marRight w:val="0"/>
      <w:marTop w:val="0"/>
      <w:marBottom w:val="0"/>
      <w:divBdr>
        <w:top w:val="none" w:sz="0" w:space="0" w:color="auto"/>
        <w:left w:val="none" w:sz="0" w:space="0" w:color="auto"/>
        <w:bottom w:val="none" w:sz="0" w:space="0" w:color="auto"/>
        <w:right w:val="none" w:sz="0" w:space="0" w:color="auto"/>
      </w:divBdr>
    </w:div>
    <w:div w:id="878200619">
      <w:bodyDiv w:val="1"/>
      <w:marLeft w:val="0"/>
      <w:marRight w:val="0"/>
      <w:marTop w:val="0"/>
      <w:marBottom w:val="0"/>
      <w:divBdr>
        <w:top w:val="none" w:sz="0" w:space="0" w:color="auto"/>
        <w:left w:val="none" w:sz="0" w:space="0" w:color="auto"/>
        <w:bottom w:val="none" w:sz="0" w:space="0" w:color="auto"/>
        <w:right w:val="none" w:sz="0" w:space="0" w:color="auto"/>
      </w:divBdr>
      <w:divsChild>
        <w:div w:id="373505178">
          <w:marLeft w:val="446"/>
          <w:marRight w:val="0"/>
          <w:marTop w:val="0"/>
          <w:marBottom w:val="0"/>
          <w:divBdr>
            <w:top w:val="none" w:sz="0" w:space="0" w:color="auto"/>
            <w:left w:val="none" w:sz="0" w:space="0" w:color="auto"/>
            <w:bottom w:val="none" w:sz="0" w:space="0" w:color="auto"/>
            <w:right w:val="none" w:sz="0" w:space="0" w:color="auto"/>
          </w:divBdr>
        </w:div>
        <w:div w:id="1194227305">
          <w:marLeft w:val="446"/>
          <w:marRight w:val="0"/>
          <w:marTop w:val="0"/>
          <w:marBottom w:val="0"/>
          <w:divBdr>
            <w:top w:val="none" w:sz="0" w:space="0" w:color="auto"/>
            <w:left w:val="none" w:sz="0" w:space="0" w:color="auto"/>
            <w:bottom w:val="none" w:sz="0" w:space="0" w:color="auto"/>
            <w:right w:val="none" w:sz="0" w:space="0" w:color="auto"/>
          </w:divBdr>
        </w:div>
      </w:divsChild>
    </w:div>
    <w:div w:id="1047098840">
      <w:bodyDiv w:val="1"/>
      <w:marLeft w:val="0"/>
      <w:marRight w:val="0"/>
      <w:marTop w:val="0"/>
      <w:marBottom w:val="0"/>
      <w:divBdr>
        <w:top w:val="none" w:sz="0" w:space="0" w:color="auto"/>
        <w:left w:val="none" w:sz="0" w:space="0" w:color="auto"/>
        <w:bottom w:val="none" w:sz="0" w:space="0" w:color="auto"/>
        <w:right w:val="none" w:sz="0" w:space="0" w:color="auto"/>
      </w:divBdr>
      <w:divsChild>
        <w:div w:id="495998066">
          <w:marLeft w:val="0"/>
          <w:marRight w:val="0"/>
          <w:marTop w:val="0"/>
          <w:marBottom w:val="0"/>
          <w:divBdr>
            <w:top w:val="none" w:sz="0" w:space="0" w:color="auto"/>
            <w:left w:val="none" w:sz="0" w:space="0" w:color="auto"/>
            <w:bottom w:val="none" w:sz="0" w:space="0" w:color="auto"/>
            <w:right w:val="none" w:sz="0" w:space="0" w:color="auto"/>
          </w:divBdr>
        </w:div>
      </w:divsChild>
    </w:div>
    <w:div w:id="11793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bariki.shammy@trademarkafr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Sylviah Luseno</dc:creator>
  <cp:keywords/>
  <dc:description/>
  <cp:lastModifiedBy>Sylviah Luseno</cp:lastModifiedBy>
  <cp:revision>4</cp:revision>
  <dcterms:created xsi:type="dcterms:W3CDTF">2026-04-21T21:19:00Z</dcterms:created>
  <dcterms:modified xsi:type="dcterms:W3CDTF">2026-04-22T11:22:00Z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9e0983-05e3-46a0-b893-ff28b8cf1441_Enabled">
    <vt:lpwstr>true</vt:lpwstr>
  </property>
  <property fmtid="{D5CDD505-2E9C-101B-9397-08002B2CF9AE}" pid="3" name="MSIP_Label_589e0983-05e3-46a0-b893-ff28b8cf1441_SetDate">
    <vt:lpwstr>2024-05-02T06:25:45Z</vt:lpwstr>
  </property>
  <property fmtid="{D5CDD505-2E9C-101B-9397-08002B2CF9AE}" pid="4" name="MSIP_Label_589e0983-05e3-46a0-b893-ff28b8cf1441_Method">
    <vt:lpwstr>Standard</vt:lpwstr>
  </property>
  <property fmtid="{D5CDD505-2E9C-101B-9397-08002B2CF9AE}" pid="5" name="MSIP_Label_589e0983-05e3-46a0-b893-ff28b8cf1441_Name">
    <vt:lpwstr>TMEA Public</vt:lpwstr>
  </property>
  <property fmtid="{D5CDD505-2E9C-101B-9397-08002B2CF9AE}" pid="6" name="MSIP_Label_589e0983-05e3-46a0-b893-ff28b8cf1441_SiteId">
    <vt:lpwstr>71dd2498-0b95-4eb5-8b08-940c9ea4bfb8</vt:lpwstr>
  </property>
  <property fmtid="{D5CDD505-2E9C-101B-9397-08002B2CF9AE}" pid="7" name="MSIP_Label_589e0983-05e3-46a0-b893-ff28b8cf1441_ActionId">
    <vt:lpwstr>4e8e94d5-9170-4d6e-a6e2-4fa4bcf6d326</vt:lpwstr>
  </property>
  <property fmtid="{D5CDD505-2E9C-101B-9397-08002B2CF9AE}" pid="8" name="MSIP_Label_589e0983-05e3-46a0-b893-ff28b8cf1441_ContentBits">
    <vt:lpwstr>0</vt:lpwstr>
  </property>
  <property fmtid="{D5CDD505-2E9C-101B-9397-08002B2CF9AE}" pid="9" name="GrammarlyDocumentId">
    <vt:lpwstr>2342ee35-949f-46be-8d4d-d45f88059e5c</vt:lpwstr>
  </property>
</Properties>
</file>